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pStyle w:val="73"/>
        <w:tabs>
          <w:tab w:val="right" w:pos="9639"/>
        </w:tabs>
        <w:spacing w:after="0"/>
        <w:outlineLvl w:val="0"/>
        <w:rPr>
          <w:rFonts w:hint="default" w:eastAsia="宋体"/>
          <w:b/>
          <w:sz w:val="24"/>
          <w:lang w:val="en-US" w:eastAsia="zh-CN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rFonts w:hint="eastAsia"/>
          <w:b/>
          <w:sz w:val="24"/>
          <w:lang w:eastAsia="zh-CN"/>
        </w:rPr>
        <w:t xml:space="preserve"> RAN </w:t>
      </w:r>
      <w:r>
        <w:rPr>
          <w:b/>
          <w:sz w:val="24"/>
        </w:rPr>
        <w:t>WG</w:t>
      </w:r>
      <w:r>
        <w:rPr>
          <w:rFonts w:hint="eastAsia"/>
          <w:b/>
          <w:sz w:val="24"/>
          <w:lang w:eastAsia="zh-CN"/>
        </w:rPr>
        <w:t>4</w:t>
      </w:r>
      <w:r>
        <w:rPr>
          <w:rFonts w:hint="eastAsia"/>
          <w:b/>
          <w:sz w:val="24"/>
          <w:lang w:eastAsia="zh-CN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 xml:space="preserve"> </w:t>
      </w:r>
      <w:r>
        <w:rPr>
          <w:rFonts w:hint="eastAsia"/>
          <w:b/>
          <w:sz w:val="24"/>
          <w:lang w:eastAsia="zh-CN"/>
        </w:rPr>
        <w:t>1</w:t>
      </w:r>
      <w:r>
        <w:rPr>
          <w:rFonts w:hint="eastAsia"/>
          <w:b/>
          <w:sz w:val="24"/>
          <w:lang w:val="en-US" w:eastAsia="zh-CN"/>
        </w:rPr>
        <w:t>1</w:t>
      </w:r>
      <w:r>
        <w:rPr>
          <w:rFonts w:hint="eastAsia"/>
          <w:b/>
          <w:sz w:val="24"/>
          <w:lang w:eastAsia="zh-CN"/>
        </w:rPr>
        <w:fldChar w:fldCharType="end"/>
      </w:r>
      <w:r>
        <w:rPr>
          <w:rFonts w:hint="eastAsia"/>
          <w:b/>
          <w:sz w:val="24"/>
          <w:lang w:val="en-US" w:eastAsia="zh-CN"/>
        </w:rPr>
        <w:t>2</w:t>
      </w:r>
      <w:r>
        <w:rPr>
          <w:b/>
          <w:i/>
          <w:sz w:val="28"/>
        </w:rPr>
        <w:tab/>
      </w:r>
      <w:r>
        <w:rPr>
          <w:rFonts w:hint="eastAsia"/>
          <w:b/>
          <w:sz w:val="24"/>
        </w:rPr>
        <w:t>R4-2</w:t>
      </w:r>
      <w:r>
        <w:rPr>
          <w:rFonts w:hint="eastAsia" w:eastAsia="宋体"/>
          <w:b/>
          <w:sz w:val="24"/>
          <w:lang w:val="en-US" w:eastAsia="zh-CN"/>
        </w:rPr>
        <w:t>411849</w:t>
      </w:r>
    </w:p>
    <w:p>
      <w:pPr>
        <w:pStyle w:val="73"/>
        <w:outlineLvl w:val="0"/>
        <w:rPr>
          <w:b/>
          <w:sz w:val="24"/>
        </w:rPr>
      </w:pPr>
      <w:r>
        <w:rPr>
          <w:rFonts w:hint="eastAsia" w:eastAsia="宋体" w:cs="Arial"/>
          <w:b/>
          <w:sz w:val="24"/>
          <w:szCs w:val="24"/>
          <w:lang w:val="en-US" w:eastAsia="zh-CN"/>
        </w:rPr>
        <w:t>Maastricht,</w:t>
      </w:r>
      <w:r>
        <w:rPr>
          <w:rFonts w:hint="eastAsia" w:ascii="Arial" w:hAnsi="Arial" w:eastAsia="宋体" w:cs="Arial"/>
          <w:b/>
          <w:sz w:val="24"/>
          <w:szCs w:val="24"/>
          <w:lang w:eastAsia="zh-CN"/>
        </w:rPr>
        <w:t xml:space="preserve"> 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>Netherlands</w:t>
      </w:r>
      <w:r>
        <w:rPr>
          <w:rFonts w:hint="eastAsia" w:ascii="Arial" w:hAnsi="Arial" w:eastAsia="宋体" w:cs="Arial"/>
          <w:b/>
          <w:sz w:val="24"/>
          <w:szCs w:val="24"/>
          <w:lang w:eastAsia="zh-CN"/>
        </w:rPr>
        <w:t xml:space="preserve">, 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>19</w:t>
      </w:r>
      <w:r>
        <w:rPr>
          <w:rFonts w:hint="eastAsia" w:ascii="Arial" w:hAnsi="Arial" w:eastAsia="宋体" w:cs="Arial"/>
          <w:b/>
          <w:sz w:val="24"/>
          <w:szCs w:val="24"/>
          <w:lang w:eastAsia="zh-CN"/>
        </w:rPr>
        <w:t>th–</w:t>
      </w:r>
      <w:r>
        <w:rPr>
          <w:rFonts w:hint="eastAsia" w:cs="Arial"/>
          <w:b/>
          <w:sz w:val="24"/>
          <w:szCs w:val="24"/>
          <w:lang w:val="en-US" w:eastAsia="zh-CN"/>
        </w:rPr>
        <w:t>23rd</w:t>
      </w:r>
      <w:r>
        <w:rPr>
          <w:rFonts w:hint="eastAsia" w:ascii="Arial" w:hAnsi="Arial" w:eastAsia="宋体" w:cs="Arial"/>
          <w:b/>
          <w:sz w:val="24"/>
          <w:szCs w:val="24"/>
          <w:lang w:eastAsia="zh-CN"/>
        </w:rPr>
        <w:t xml:space="preserve"> 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>Aug</w:t>
      </w:r>
      <w:r>
        <w:rPr>
          <w:rFonts w:hint="eastAsia" w:ascii="Arial" w:hAnsi="Arial" w:eastAsia="宋体" w:cs="Arial"/>
          <w:b/>
          <w:sz w:val="24"/>
          <w:szCs w:val="24"/>
          <w:lang w:eastAsia="zh-CN"/>
        </w:rPr>
        <w:t xml:space="preserve">, </w:t>
      </w:r>
      <w:r>
        <w:rPr>
          <w:rFonts w:hint="eastAsia" w:eastAsia="宋体" w:cs="Arial"/>
          <w:b/>
          <w:bCs/>
          <w:sz w:val="24"/>
          <w:lang w:eastAsia="zh-CN"/>
        </w:rPr>
        <w:t>202</w:t>
      </w:r>
      <w:r>
        <w:rPr>
          <w:rFonts w:hint="eastAsia" w:eastAsia="宋体" w:cs="Arial"/>
          <w:b/>
          <w:bCs/>
          <w:sz w:val="24"/>
          <w:lang w:val="en-US" w:eastAsia="zh-CN"/>
        </w:rPr>
        <w:t>4</w:t>
      </w:r>
    </w:p>
    <w:p>
      <w:pPr>
        <w:bidi w:val="0"/>
      </w:pPr>
    </w:p>
    <w:p>
      <w:pPr>
        <w:keepNext/>
        <w:keepLines/>
        <w:pageBreakBefore w:val="0"/>
        <w:widowControl/>
        <w:tabs>
          <w:tab w:val="left" w:pos="1985"/>
        </w:tabs>
        <w:kinsoku/>
        <w:wordWrap/>
        <w:overflowPunct/>
        <w:topLinePunct w:val="0"/>
        <w:autoSpaceDE/>
        <w:autoSpaceDN/>
        <w:bidi w:val="0"/>
        <w:adjustRightInd/>
        <w:spacing w:before="120" w:after="120"/>
        <w:textAlignment w:val="auto"/>
        <w:outlineLvl w:val="0"/>
        <w:rPr>
          <w:rStyle w:val="60"/>
          <w:rFonts w:hint="default"/>
          <w:b/>
          <w:highlight w:val="none"/>
          <w:lang w:val="en-US" w:eastAsia="zh-CN"/>
        </w:rPr>
      </w:pPr>
      <w:r>
        <w:rPr>
          <w:rStyle w:val="60"/>
          <w:rFonts w:hint="eastAsia"/>
          <w:b/>
          <w:highlight w:val="none"/>
          <w:lang w:val="en-US" w:eastAsia="zh-CN"/>
        </w:rPr>
        <w:t xml:space="preserve">Source: </w:t>
      </w:r>
      <w:r>
        <w:rPr>
          <w:rStyle w:val="60"/>
          <w:rFonts w:hint="eastAsia"/>
          <w:b/>
          <w:highlight w:val="none"/>
          <w:lang w:val="en-US" w:eastAsia="zh-CN"/>
        </w:rPr>
        <w:tab/>
      </w:r>
      <w:r>
        <w:rPr>
          <w:rStyle w:val="60"/>
          <w:rFonts w:hint="eastAsia"/>
          <w:b/>
          <w:highlight w:val="none"/>
          <w:lang w:val="en-US" w:eastAsia="zh-CN"/>
        </w:rPr>
        <w:t>ZTE Corporation, Sanechips</w:t>
      </w:r>
    </w:p>
    <w:p>
      <w:pPr>
        <w:keepNext/>
        <w:keepLines/>
        <w:pageBreakBefore w:val="0"/>
        <w:widowControl/>
        <w:tabs>
          <w:tab w:val="left" w:pos="1985"/>
        </w:tabs>
        <w:kinsoku/>
        <w:wordWrap/>
        <w:overflowPunct/>
        <w:topLinePunct w:val="0"/>
        <w:autoSpaceDE/>
        <w:autoSpaceDN/>
        <w:bidi w:val="0"/>
        <w:adjustRightInd/>
        <w:spacing w:before="120" w:after="120"/>
        <w:textAlignment w:val="auto"/>
        <w:outlineLvl w:val="0"/>
        <w:rPr>
          <w:rStyle w:val="60"/>
          <w:rFonts w:hint="default"/>
          <w:b/>
          <w:highlight w:val="none"/>
          <w:lang w:val="en-US" w:eastAsia="zh-CN"/>
        </w:rPr>
      </w:pPr>
      <w:r>
        <w:rPr>
          <w:rFonts w:ascii="Arial" w:hAnsi="Arial"/>
          <w:b/>
          <w:sz w:val="24"/>
          <w:highlight w:val="none"/>
          <w:lang w:val="pt-BR"/>
        </w:rPr>
        <w:t xml:space="preserve">Title: </w:t>
      </w:r>
      <w:r>
        <w:rPr>
          <w:rFonts w:ascii="Arial" w:hAnsi="Arial"/>
          <w:b/>
          <w:sz w:val="24"/>
          <w:highlight w:val="none"/>
          <w:lang w:val="pt-BR"/>
        </w:rPr>
        <w:tab/>
      </w:r>
      <w:bookmarkStart w:id="0" w:name="OLE_LINK8"/>
      <w:bookmarkStart w:id="1" w:name="OLE_LINK14"/>
      <w:r>
        <w:rPr>
          <w:rFonts w:hint="eastAsia" w:ascii="Arial" w:hAnsi="Arial"/>
          <w:b/>
          <w:sz w:val="24"/>
          <w:highlight w:val="none"/>
          <w:lang w:val="en-US" w:eastAsia="zh-CN"/>
        </w:rPr>
        <w:t>D</w:t>
      </w:r>
      <w:r>
        <w:rPr>
          <w:rStyle w:val="60"/>
          <w:rFonts w:hint="eastAsia"/>
          <w:b/>
          <w:highlight w:val="none"/>
          <w:lang w:val="pt-BR" w:eastAsia="zh-CN"/>
        </w:rPr>
        <w:t>iscussion on</w:t>
      </w:r>
      <w:bookmarkEnd w:id="0"/>
      <w:bookmarkEnd w:id="1"/>
      <w:r>
        <w:rPr>
          <w:rStyle w:val="60"/>
          <w:rFonts w:hint="eastAsia"/>
          <w:b/>
          <w:highlight w:val="none"/>
          <w:lang w:val="en-US" w:eastAsia="zh-CN"/>
        </w:rPr>
        <w:t xml:space="preserve"> SAN RF requirements for NR-NTN combine</w:t>
      </w:r>
      <w:bookmarkStart w:id="2" w:name="_GoBack"/>
      <w:bookmarkEnd w:id="2"/>
      <w:r>
        <w:rPr>
          <w:rStyle w:val="60"/>
          <w:rFonts w:hint="eastAsia"/>
          <w:b/>
          <w:highlight w:val="none"/>
          <w:lang w:val="en-US" w:eastAsia="zh-CN"/>
        </w:rPr>
        <w:t>d L-band</w:t>
      </w:r>
    </w:p>
    <w:p>
      <w:pPr>
        <w:keepNext/>
        <w:keepLines/>
        <w:pageBreakBefore w:val="0"/>
        <w:widowControl/>
        <w:tabs>
          <w:tab w:val="left" w:pos="1985"/>
        </w:tabs>
        <w:kinsoku/>
        <w:wordWrap/>
        <w:overflowPunct/>
        <w:topLinePunct w:val="0"/>
        <w:autoSpaceDE/>
        <w:autoSpaceDN/>
        <w:bidi w:val="0"/>
        <w:adjustRightInd/>
        <w:spacing w:before="120" w:after="120"/>
        <w:textAlignment w:val="auto"/>
        <w:outlineLvl w:val="0"/>
        <w:rPr>
          <w:rStyle w:val="60"/>
          <w:rFonts w:hint="default"/>
          <w:b/>
          <w:highlight w:val="none"/>
          <w:lang w:val="en-US" w:eastAsia="zh-CN"/>
        </w:rPr>
      </w:pPr>
      <w:r>
        <w:rPr>
          <w:rStyle w:val="60"/>
          <w:rFonts w:hint="eastAsia"/>
          <w:b/>
          <w:highlight w:val="none"/>
          <w:lang w:val="pt-BR" w:eastAsia="zh-CN"/>
        </w:rPr>
        <w:t>Agenda item:</w:t>
      </w:r>
      <w:r>
        <w:rPr>
          <w:rStyle w:val="60"/>
          <w:rFonts w:hint="eastAsia"/>
          <w:b/>
          <w:highlight w:val="none"/>
          <w:lang w:val="pt-BR" w:eastAsia="zh-CN"/>
        </w:rPr>
        <w:tab/>
      </w:r>
      <w:r>
        <w:rPr>
          <w:rStyle w:val="60"/>
          <w:rFonts w:hint="eastAsia"/>
          <w:b/>
          <w:highlight w:val="none"/>
          <w:lang w:val="en-US" w:eastAsia="zh-CN"/>
        </w:rPr>
        <w:t>7.19.3</w:t>
      </w:r>
    </w:p>
    <w:p>
      <w:pPr>
        <w:keepNext/>
        <w:keepLines/>
        <w:pageBreakBefore w:val="0"/>
        <w:widowControl/>
        <w:tabs>
          <w:tab w:val="left" w:pos="1985"/>
        </w:tabs>
        <w:kinsoku/>
        <w:wordWrap/>
        <w:overflowPunct/>
        <w:topLinePunct w:val="0"/>
        <w:autoSpaceDE/>
        <w:autoSpaceDN/>
        <w:bidi w:val="0"/>
        <w:adjustRightInd/>
        <w:spacing w:before="120" w:after="120"/>
        <w:textAlignment w:val="auto"/>
        <w:outlineLvl w:val="0"/>
        <w:rPr>
          <w:rStyle w:val="60"/>
          <w:rFonts w:hint="eastAsia"/>
          <w:b/>
          <w:highlight w:val="none"/>
          <w:lang w:val="pt-BR" w:eastAsia="zh-CN"/>
        </w:rPr>
      </w:pPr>
      <w:r>
        <w:rPr>
          <w:rStyle w:val="60"/>
          <w:rFonts w:hint="eastAsia"/>
          <w:b/>
          <w:highlight w:val="none"/>
          <w:lang w:val="pt-BR" w:eastAsia="zh-CN"/>
        </w:rPr>
        <w:t>Document for:</w:t>
      </w:r>
      <w:r>
        <w:rPr>
          <w:rStyle w:val="60"/>
          <w:rFonts w:hint="eastAsia"/>
          <w:b/>
          <w:highlight w:val="none"/>
          <w:lang w:val="pt-BR" w:eastAsia="zh-CN"/>
        </w:rPr>
        <w:tab/>
      </w:r>
      <w:r>
        <w:rPr>
          <w:rStyle w:val="60"/>
          <w:rFonts w:hint="eastAsia"/>
          <w:b/>
          <w:highlight w:val="none"/>
          <w:lang w:val="en-US" w:eastAsia="zh-CN"/>
        </w:rPr>
        <w:t>Approval</w:t>
      </w:r>
    </w:p>
    <w:p>
      <w:pPr>
        <w:keepNext/>
        <w:keepLines/>
        <w:pageBreakBefore w:val="0"/>
        <w:widowControl/>
        <w:pBdr>
          <w:top w:val="single" w:color="auto" w:sz="12" w:space="3"/>
        </w:pBdr>
        <w:kinsoku/>
        <w:wordWrap/>
        <w:topLinePunct w:val="0"/>
        <w:bidi w:val="0"/>
        <w:spacing w:beforeLines="0" w:after="120" w:afterLines="0"/>
        <w:jc w:val="left"/>
        <w:outlineLvl w:val="0"/>
        <w:rPr>
          <w:b/>
          <w:kern w:val="0"/>
          <w:sz w:val="28"/>
          <w:szCs w:val="28"/>
          <w:highlight w:val="none"/>
        </w:rPr>
      </w:pPr>
      <w:r>
        <w:rPr>
          <w:b/>
          <w:kern w:val="0"/>
          <w:sz w:val="28"/>
          <w:szCs w:val="28"/>
          <w:highlight w:val="none"/>
        </w:rPr>
        <w:t>1 Introduction</w:t>
      </w:r>
    </w:p>
    <w:p>
      <w:pPr>
        <w:keepNext/>
        <w:keepLines/>
        <w:pageBreakBefore w:val="0"/>
        <w:widowControl/>
        <w:numPr>
          <w:ilvl w:val="-1"/>
          <w:numId w:val="0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pacing w:before="120" w:line="240" w:lineRule="auto"/>
        <w:ind w:left="0" w:firstLine="0"/>
        <w:textAlignment w:val="baseline"/>
        <w:rPr>
          <w:rFonts w:hint="default"/>
          <w:i w:val="0"/>
          <w:iCs w:val="0"/>
          <w:sz w:val="20"/>
          <w:szCs w:val="20"/>
          <w:lang w:val="en-US" w:eastAsia="zh-CN"/>
        </w:rPr>
      </w:pPr>
      <w:r>
        <w:rPr>
          <w:rFonts w:hint="eastAsia"/>
          <w:i w:val="0"/>
          <w:iCs w:val="0"/>
          <w:sz w:val="20"/>
          <w:szCs w:val="20"/>
          <w:lang w:val="en-US" w:eastAsia="zh-CN"/>
        </w:rPr>
        <w:t>In</w:t>
      </w:r>
      <w:r>
        <w:rPr>
          <w:rFonts w:hint="default"/>
          <w:i w:val="0"/>
          <w:iCs w:val="0"/>
          <w:sz w:val="20"/>
          <w:szCs w:val="20"/>
          <w:lang w:val="en-US" w:eastAsia="zh-CN"/>
        </w:rPr>
        <w:t xml:space="preserve"> RAN#</w:t>
      </w:r>
      <w:r>
        <w:rPr>
          <w:rFonts w:hint="eastAsia"/>
          <w:i w:val="0"/>
          <w:iCs w:val="0"/>
          <w:sz w:val="20"/>
          <w:szCs w:val="20"/>
          <w:lang w:val="en-US" w:eastAsia="zh-CN"/>
        </w:rPr>
        <w:t>104</w:t>
      </w:r>
      <w:r>
        <w:rPr>
          <w:rFonts w:hint="default"/>
          <w:i w:val="0"/>
          <w:iCs w:val="0"/>
          <w:sz w:val="20"/>
          <w:szCs w:val="20"/>
          <w:lang w:val="en-US" w:eastAsia="zh-CN"/>
        </w:rPr>
        <w:t xml:space="preserve"> meeting, a</w:t>
      </w:r>
      <w:r>
        <w:rPr>
          <w:rFonts w:hint="eastAsia"/>
          <w:i w:val="0"/>
          <w:iCs w:val="0"/>
          <w:sz w:val="20"/>
          <w:szCs w:val="20"/>
          <w:lang w:val="en-US" w:eastAsia="zh-CN"/>
        </w:rPr>
        <w:t xml:space="preserve"> new</w:t>
      </w:r>
      <w:r>
        <w:rPr>
          <w:rFonts w:hint="default"/>
          <w:i w:val="0"/>
          <w:iCs w:val="0"/>
          <w:sz w:val="20"/>
          <w:szCs w:val="20"/>
          <w:lang w:val="en-US" w:eastAsia="zh-CN"/>
        </w:rPr>
        <w:t xml:space="preserve"> Work Item [1] </w:t>
      </w:r>
      <w:r>
        <w:rPr>
          <w:rFonts w:hint="eastAsia"/>
          <w:i w:val="0"/>
          <w:iCs w:val="0"/>
          <w:sz w:val="20"/>
          <w:szCs w:val="20"/>
          <w:lang w:val="en-US" w:eastAsia="zh-CN"/>
        </w:rPr>
        <w:t>was</w:t>
      </w:r>
      <w:r>
        <w:rPr>
          <w:rFonts w:hint="default"/>
          <w:i w:val="0"/>
          <w:iCs w:val="0"/>
          <w:sz w:val="20"/>
          <w:szCs w:val="20"/>
          <w:lang w:val="en-US" w:eastAsia="zh-CN"/>
        </w:rPr>
        <w:t xml:space="preserve"> approved on </w:t>
      </w:r>
      <w:r>
        <w:rPr>
          <w:rFonts w:hint="eastAsia"/>
          <w:i w:val="0"/>
          <w:iCs w:val="0"/>
          <w:sz w:val="20"/>
          <w:szCs w:val="20"/>
          <w:lang w:val="en-US" w:eastAsia="zh-CN"/>
        </w:rPr>
        <w:t>introduction of new NR NTN bands to support the Extended L-band (UL 1668-1675MHz, DL 1518-1525MHz) and the combined MSS L-band and Extended L-band ranges (DL 1518-1559 MHz, UL 1626.5-1660.5 MHz and 1668-1675 MHz) with the following RAN4 objective</w:t>
      </w:r>
      <w:r>
        <w:rPr>
          <w:rFonts w:hint="default"/>
          <w:i w:val="0"/>
          <w:iCs w:val="0"/>
          <w:sz w:val="20"/>
          <w:szCs w:val="20"/>
          <w:lang w:val="en-US" w:eastAsia="zh-CN"/>
        </w:rPr>
        <w:t xml:space="preserve">. In this contribution, we want to share some </w:t>
      </w:r>
      <w:r>
        <w:rPr>
          <w:rFonts w:hint="eastAsia"/>
          <w:i w:val="0"/>
          <w:iCs w:val="0"/>
          <w:sz w:val="20"/>
          <w:szCs w:val="20"/>
          <w:lang w:val="en-US" w:eastAsia="zh-CN"/>
        </w:rPr>
        <w:t>initial</w:t>
      </w:r>
      <w:r>
        <w:rPr>
          <w:rFonts w:hint="default"/>
          <w:i w:val="0"/>
          <w:iCs w:val="0"/>
          <w:sz w:val="20"/>
          <w:szCs w:val="20"/>
          <w:lang w:val="en-US" w:eastAsia="zh-CN"/>
        </w:rPr>
        <w:t xml:space="preserve"> views from SAN RF requirements perspective.</w:t>
      </w:r>
    </w:p>
    <w:tbl>
      <w:tblPr>
        <w:tblStyle w:val="24"/>
        <w:tblW w:w="10160" w:type="dxa"/>
        <w:tblInd w:w="-12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60" w:type="dxa"/>
          </w:tcPr>
          <w:p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The objectives of the core part are as follows:</w:t>
            </w:r>
          </w:p>
          <w:p>
            <w:pPr>
              <w:pStyle w:val="47"/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Specify a new NR NTN FDD band with a UE transmitting at </w:t>
            </w:r>
            <w:r>
              <w:rPr>
                <w:iCs/>
                <w:sz w:val="20"/>
                <w:szCs w:val="20"/>
              </w:rPr>
              <w:t xml:space="preserve">1668 – 1675 MHz </w:t>
            </w:r>
            <w:r>
              <w:rPr>
                <w:sz w:val="20"/>
                <w:szCs w:val="20"/>
              </w:rPr>
              <w:t xml:space="preserve">and SAN transmitting at </w:t>
            </w:r>
            <w:r>
              <w:rPr>
                <w:iCs/>
                <w:sz w:val="20"/>
                <w:szCs w:val="20"/>
              </w:rPr>
              <w:t>1518 – 1525 MHz</w:t>
            </w:r>
            <w:r>
              <w:rPr>
                <w:sz w:val="20"/>
                <w:szCs w:val="20"/>
              </w:rPr>
              <w:t>;</w:t>
            </w:r>
          </w:p>
          <w:p>
            <w:pPr>
              <w:pStyle w:val="47"/>
              <w:numPr>
                <w:ilvl w:val="1"/>
                <w:numId w:val="8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Support 5MHz channel bandwidth with 15kHz SCS </w:t>
            </w:r>
          </w:p>
          <w:p>
            <w:pPr>
              <w:pStyle w:val="47"/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Specify new NR NTN FDD band(s) with SAN transmitting at </w:t>
            </w:r>
            <w:r>
              <w:rPr>
                <w:iCs/>
                <w:sz w:val="20"/>
                <w:szCs w:val="20"/>
              </w:rPr>
              <w:t>1518 – 1559 MHz and</w:t>
            </w:r>
            <w:r>
              <w:rPr>
                <w:sz w:val="20"/>
                <w:szCs w:val="20"/>
              </w:rPr>
              <w:t xml:space="preserve"> UE transmitting at 1626.5 – 1660.5 MHz or </w:t>
            </w:r>
            <w:r>
              <w:rPr>
                <w:iCs/>
                <w:sz w:val="20"/>
                <w:szCs w:val="20"/>
              </w:rPr>
              <w:t>1668 – 1675 MHz</w:t>
            </w:r>
            <w:r>
              <w:rPr>
                <w:sz w:val="20"/>
                <w:szCs w:val="20"/>
              </w:rPr>
              <w:t>;</w:t>
            </w:r>
          </w:p>
          <w:p>
            <w:pPr>
              <w:pStyle w:val="47"/>
              <w:numPr>
                <w:ilvl w:val="1"/>
                <w:numId w:val="8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Support channel bandwidths and SCS as presented in Table 4.1-1 below:</w:t>
            </w:r>
            <w:r>
              <w:rPr>
                <w:sz w:val="20"/>
                <w:szCs w:val="20"/>
              </w:rPr>
              <w:br w:type="textWrapping"/>
            </w:r>
          </w:p>
          <w:p>
            <w:pPr>
              <w:pStyle w:val="56"/>
              <w:overflowPunct w:val="0"/>
              <w:autoSpaceDE w:val="0"/>
              <w:autoSpaceDN w:val="0"/>
              <w:adjustRightInd w:val="0"/>
              <w:spacing w:after="180"/>
              <w:ind w:left="644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Table 4.1-1: DL Channel bandwidth and SCS system parameters</w:t>
            </w:r>
          </w:p>
          <w:tbl>
            <w:tblPr>
              <w:tblStyle w:val="24"/>
              <w:tblW w:w="0" w:type="auto"/>
              <w:jc w:val="center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236"/>
              <w:gridCol w:w="936"/>
              <w:gridCol w:w="940"/>
              <w:gridCol w:w="940"/>
              <w:gridCol w:w="940"/>
              <w:gridCol w:w="940"/>
              <w:gridCol w:w="940"/>
              <w:gridCol w:w="763"/>
              <w:gridCol w:w="763"/>
              <w:gridCol w:w="764"/>
              <w:gridCol w:w="772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cantSplit/>
                <w:tblHeader/>
                <w:jc w:val="center"/>
              </w:trPr>
              <w:tc>
                <w:tcPr>
                  <w:tcW w:w="622" w:type="pct"/>
                  <w:vMerge w:val="restart"/>
                  <w:tcBorders>
                    <w:top w:val="single" w:color="auto" w:sz="4" w:space="0"/>
                    <w:left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pStyle w:val="65"/>
                    <w:keepNext/>
                    <w:keepLines/>
                    <w:pageBreakBefore w:val="0"/>
                    <w:widowControl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beforeLines="0" w:after="180" w:afterLines="0" w:line="240" w:lineRule="auto"/>
                    <w:textAlignment w:val="auto"/>
                    <w:rPr>
                      <w:rFonts w:hint="default" w:ascii="Times New Roman" w:hAnsi="Times New Roman" w:eastAsia="Yu Mincho" w:cs="Times New Roman"/>
                      <w:sz w:val="20"/>
                      <w:szCs w:val="20"/>
                    </w:rPr>
                  </w:pPr>
                  <w:r>
                    <w:rPr>
                      <w:rFonts w:hint="default" w:ascii="Times New Roman" w:hAnsi="Times New Roman" w:cs="Times New Roman"/>
                      <w:sz w:val="20"/>
                      <w:szCs w:val="20"/>
                    </w:rPr>
                    <w:t>NTN satellite band</w:t>
                  </w:r>
                </w:p>
              </w:tc>
              <w:tc>
                <w:tcPr>
                  <w:tcW w:w="471" w:type="pct"/>
                  <w:vMerge w:val="restart"/>
                  <w:tcBorders>
                    <w:left w:val="single" w:color="auto" w:sz="4" w:space="0"/>
                  </w:tcBorders>
                  <w:vAlign w:val="center"/>
                </w:tcPr>
                <w:p>
                  <w:pPr>
                    <w:pStyle w:val="65"/>
                    <w:keepNext/>
                    <w:keepLines/>
                    <w:pageBreakBefore w:val="0"/>
                    <w:widowControl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beforeLines="0" w:after="180" w:afterLines="0" w:line="240" w:lineRule="auto"/>
                    <w:textAlignment w:val="auto"/>
                    <w:rPr>
                      <w:rFonts w:hint="default"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hint="default" w:ascii="Times New Roman" w:hAnsi="Times New Roman" w:cs="Times New Roman"/>
                      <w:sz w:val="20"/>
                      <w:szCs w:val="20"/>
                    </w:rPr>
                    <w:t>SCS</w:t>
                  </w:r>
                </w:p>
                <w:p>
                  <w:pPr>
                    <w:pStyle w:val="65"/>
                    <w:keepNext/>
                    <w:keepLines/>
                    <w:pageBreakBefore w:val="0"/>
                    <w:widowControl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beforeLines="0" w:after="180" w:afterLines="0" w:line="240" w:lineRule="auto"/>
                    <w:textAlignment w:val="auto"/>
                    <w:rPr>
                      <w:rFonts w:hint="default" w:ascii="Times New Roman" w:hAnsi="Times New Roman" w:eastAsia="Yu Mincho" w:cs="Times New Roman"/>
                      <w:sz w:val="20"/>
                      <w:szCs w:val="20"/>
                    </w:rPr>
                  </w:pPr>
                  <w:r>
                    <w:rPr>
                      <w:rFonts w:hint="default" w:ascii="Times New Roman" w:hAnsi="Times New Roman" w:cs="Times New Roman"/>
                      <w:sz w:val="20"/>
                      <w:szCs w:val="20"/>
                    </w:rPr>
                    <w:t>kHz</w:t>
                  </w:r>
                </w:p>
              </w:tc>
              <w:tc>
                <w:tcPr>
                  <w:tcW w:w="3905" w:type="pct"/>
                  <w:gridSpan w:val="9"/>
                </w:tcPr>
                <w:p>
                  <w:pPr>
                    <w:pStyle w:val="65"/>
                    <w:keepNext/>
                    <w:keepLines/>
                    <w:pageBreakBefore w:val="0"/>
                    <w:widowControl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beforeLines="0" w:after="180" w:afterLines="0" w:line="240" w:lineRule="auto"/>
                    <w:textAlignment w:val="auto"/>
                    <w:rPr>
                      <w:rFonts w:hint="default" w:ascii="Times New Roman" w:hAnsi="Times New Roman" w:cs="Times New Roman" w:eastAsiaTheme="minorEastAsia"/>
                      <w:sz w:val="20"/>
                      <w:szCs w:val="20"/>
                    </w:rPr>
                  </w:pPr>
                  <w:r>
                    <w:rPr>
                      <w:rFonts w:hint="default" w:ascii="Times New Roman" w:hAnsi="Times New Roman" w:cs="Times New Roman" w:eastAsiaTheme="minorEastAsia"/>
                      <w:sz w:val="20"/>
                      <w:szCs w:val="20"/>
                    </w:rPr>
                    <w:t>DL Channel bandwidth (MHz)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cantSplit/>
                <w:trHeight w:val="227" w:hRule="exact"/>
                <w:jc w:val="center"/>
              </w:trPr>
              <w:tc>
                <w:tcPr>
                  <w:tcW w:w="622" w:type="pct"/>
                  <w:vMerge w:val="continue"/>
                  <w:tcBorders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pStyle w:val="57"/>
                    <w:keepNext/>
                    <w:keepLines/>
                    <w:pageBreakBefore w:val="0"/>
                    <w:widowControl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beforeLines="0" w:after="180" w:afterLines="0" w:line="240" w:lineRule="auto"/>
                    <w:textAlignment w:val="auto"/>
                    <w:rPr>
                      <w:rFonts w:hint="default" w:ascii="Times New Roman" w:hAnsi="Times New Roman" w:eastAsia="Yu Mincho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71" w:type="pct"/>
                  <w:vMerge w:val="continue"/>
                  <w:tcBorders>
                    <w:left w:val="single" w:color="auto" w:sz="4" w:space="0"/>
                  </w:tcBorders>
                  <w:vAlign w:val="center"/>
                </w:tcPr>
                <w:p>
                  <w:pPr>
                    <w:pStyle w:val="57"/>
                    <w:keepNext/>
                    <w:keepLines/>
                    <w:pageBreakBefore w:val="0"/>
                    <w:widowControl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beforeLines="0" w:after="180" w:afterLines="0" w:line="240" w:lineRule="auto"/>
                    <w:textAlignment w:val="auto"/>
                    <w:rPr>
                      <w:rFonts w:hint="default" w:ascii="Times New Roman" w:hAnsi="Times New Roman" w:eastAsia="Yu Mincho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73" w:type="pct"/>
                </w:tcPr>
                <w:p>
                  <w:pPr>
                    <w:pStyle w:val="57"/>
                    <w:keepNext/>
                    <w:keepLines/>
                    <w:pageBreakBefore w:val="0"/>
                    <w:widowControl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beforeLines="0" w:after="180" w:afterLines="0" w:line="240" w:lineRule="auto"/>
                    <w:textAlignment w:val="auto"/>
                    <w:rPr>
                      <w:rFonts w:hint="default"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73" w:type="pct"/>
                </w:tcPr>
                <w:p>
                  <w:pPr>
                    <w:pStyle w:val="57"/>
                    <w:keepNext/>
                    <w:keepLines/>
                    <w:pageBreakBefore w:val="0"/>
                    <w:widowControl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beforeLines="0" w:after="180" w:afterLines="0" w:line="240" w:lineRule="auto"/>
                    <w:textAlignment w:val="auto"/>
                    <w:rPr>
                      <w:rFonts w:hint="default" w:ascii="Times New Roman" w:hAnsi="Times New Roman" w:eastAsia="Yu Mincho" w:cs="Times New Roman"/>
                      <w:sz w:val="20"/>
                      <w:szCs w:val="20"/>
                    </w:rPr>
                  </w:pPr>
                  <w:r>
                    <w:rPr>
                      <w:rFonts w:hint="default" w:ascii="Times New Roman" w:hAnsi="Times New Roman" w:cs="Times New Roman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473" w:type="pct"/>
                  <w:vAlign w:val="center"/>
                </w:tcPr>
                <w:p>
                  <w:pPr>
                    <w:pStyle w:val="57"/>
                    <w:keepNext/>
                    <w:keepLines/>
                    <w:pageBreakBefore w:val="0"/>
                    <w:widowControl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beforeLines="0" w:after="180" w:afterLines="0" w:line="240" w:lineRule="auto"/>
                    <w:textAlignment w:val="auto"/>
                    <w:rPr>
                      <w:rFonts w:hint="default" w:ascii="Times New Roman" w:hAnsi="Times New Roman" w:eastAsia="Yu Mincho" w:cs="Times New Roman"/>
                      <w:sz w:val="20"/>
                      <w:szCs w:val="20"/>
                    </w:rPr>
                  </w:pPr>
                  <w:r>
                    <w:rPr>
                      <w:rFonts w:hint="default" w:ascii="Times New Roman" w:hAnsi="Times New Roman" w:cs="Times New Roman"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473" w:type="pct"/>
                  <w:vAlign w:val="center"/>
                </w:tcPr>
                <w:p>
                  <w:pPr>
                    <w:pStyle w:val="57"/>
                    <w:keepNext/>
                    <w:keepLines/>
                    <w:pageBreakBefore w:val="0"/>
                    <w:widowControl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beforeLines="0" w:after="180" w:afterLines="0" w:line="240" w:lineRule="auto"/>
                    <w:textAlignment w:val="auto"/>
                    <w:rPr>
                      <w:rFonts w:hint="default" w:ascii="Times New Roman" w:hAnsi="Times New Roman" w:eastAsia="Yu Mincho" w:cs="Times New Roman"/>
                      <w:sz w:val="20"/>
                      <w:szCs w:val="20"/>
                    </w:rPr>
                  </w:pPr>
                  <w:r>
                    <w:rPr>
                      <w:rFonts w:hint="default" w:ascii="Times New Roman" w:hAnsi="Times New Roman" w:cs="Times New Roman"/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473" w:type="pct"/>
                  <w:vAlign w:val="center"/>
                </w:tcPr>
                <w:p>
                  <w:pPr>
                    <w:pStyle w:val="57"/>
                    <w:keepNext/>
                    <w:keepLines/>
                    <w:pageBreakBefore w:val="0"/>
                    <w:widowControl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beforeLines="0" w:after="180" w:afterLines="0" w:line="240" w:lineRule="auto"/>
                    <w:textAlignment w:val="auto"/>
                    <w:rPr>
                      <w:rFonts w:hint="default" w:ascii="Times New Roman" w:hAnsi="Times New Roman" w:eastAsia="Yu Mincho" w:cs="Times New Roman"/>
                      <w:sz w:val="20"/>
                      <w:szCs w:val="20"/>
                    </w:rPr>
                  </w:pPr>
                  <w:r>
                    <w:rPr>
                      <w:rFonts w:hint="default" w:ascii="Times New Roman" w:hAnsi="Times New Roman" w:cs="Times New Roman"/>
                      <w:sz w:val="20"/>
                      <w:szCs w:val="20"/>
                    </w:rPr>
                    <w:t>20</w:t>
                  </w:r>
                </w:p>
              </w:tc>
              <w:tc>
                <w:tcPr>
                  <w:tcW w:w="384" w:type="pct"/>
                </w:tcPr>
                <w:p>
                  <w:pPr>
                    <w:pStyle w:val="57"/>
                    <w:keepNext/>
                    <w:keepLines/>
                    <w:pageBreakBefore w:val="0"/>
                    <w:widowControl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beforeLines="0" w:after="180" w:afterLines="0" w:line="240" w:lineRule="auto"/>
                    <w:textAlignment w:val="auto"/>
                    <w:rPr>
                      <w:rFonts w:hint="default"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hint="default" w:ascii="Times New Roman" w:hAnsi="Times New Roman" w:cs="Times New Roman"/>
                      <w:sz w:val="20"/>
                      <w:szCs w:val="20"/>
                    </w:rPr>
                    <w:t>25</w:t>
                  </w:r>
                </w:p>
              </w:tc>
              <w:tc>
                <w:tcPr>
                  <w:tcW w:w="384" w:type="pct"/>
                </w:tcPr>
                <w:p>
                  <w:pPr>
                    <w:keepNext/>
                    <w:keepLines/>
                    <w:pageBreakBefore w:val="0"/>
                    <w:widowControl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beforeLines="0" w:after="0" w:afterLines="0" w:line="240" w:lineRule="auto"/>
                    <w:jc w:val="center"/>
                    <w:textAlignment w:val="auto"/>
                    <w:rPr>
                      <w:rFonts w:hint="default" w:ascii="Times New Roman" w:hAnsi="Times New Roman" w:cs="Times New Roman"/>
                      <w:bCs/>
                      <w:sz w:val="20"/>
                      <w:szCs w:val="20"/>
                    </w:rPr>
                  </w:pPr>
                  <w:r>
                    <w:rPr>
                      <w:rFonts w:hint="default" w:ascii="Times New Roman" w:hAnsi="Times New Roman" w:cs="Times New Roman"/>
                      <w:bCs/>
                      <w:sz w:val="20"/>
                      <w:szCs w:val="20"/>
                    </w:rPr>
                    <w:t>30</w:t>
                  </w:r>
                </w:p>
              </w:tc>
              <w:tc>
                <w:tcPr>
                  <w:tcW w:w="384" w:type="pct"/>
                </w:tcPr>
                <w:p>
                  <w:pPr>
                    <w:keepNext/>
                    <w:keepLines/>
                    <w:pageBreakBefore w:val="0"/>
                    <w:widowControl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beforeLines="0" w:after="0" w:afterLines="0" w:line="240" w:lineRule="auto"/>
                    <w:jc w:val="center"/>
                    <w:textAlignment w:val="auto"/>
                    <w:rPr>
                      <w:rFonts w:hint="default" w:ascii="Times New Roman" w:hAnsi="Times New Roman" w:cs="Times New Roman"/>
                      <w:bCs/>
                      <w:sz w:val="20"/>
                      <w:szCs w:val="20"/>
                    </w:rPr>
                  </w:pPr>
                  <w:r>
                    <w:rPr>
                      <w:rFonts w:hint="default" w:ascii="Times New Roman" w:hAnsi="Times New Roman" w:cs="Times New Roman"/>
                      <w:bCs/>
                      <w:sz w:val="20"/>
                      <w:szCs w:val="20"/>
                    </w:rPr>
                    <w:t>35</w:t>
                  </w:r>
                </w:p>
              </w:tc>
              <w:tc>
                <w:tcPr>
                  <w:tcW w:w="388" w:type="pct"/>
                </w:tcPr>
                <w:p>
                  <w:pPr>
                    <w:keepNext/>
                    <w:keepLines/>
                    <w:pageBreakBefore w:val="0"/>
                    <w:widowControl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beforeLines="0" w:after="0" w:afterLines="0" w:line="240" w:lineRule="auto"/>
                    <w:jc w:val="center"/>
                    <w:textAlignment w:val="auto"/>
                    <w:rPr>
                      <w:rFonts w:hint="default" w:ascii="Times New Roman" w:hAnsi="Times New Roman" w:cs="Times New Roman"/>
                      <w:bCs/>
                      <w:sz w:val="20"/>
                      <w:szCs w:val="20"/>
                    </w:rPr>
                  </w:pPr>
                  <w:r>
                    <w:rPr>
                      <w:rFonts w:hint="default" w:ascii="Times New Roman" w:hAnsi="Times New Roman" w:cs="Times New Roman"/>
                      <w:bCs/>
                      <w:sz w:val="20"/>
                      <w:szCs w:val="20"/>
                    </w:rPr>
                    <w:t>40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cantSplit/>
                <w:jc w:val="center"/>
              </w:trPr>
              <w:tc>
                <w:tcPr>
                  <w:tcW w:w="622" w:type="pct"/>
                  <w:tcBorders>
                    <w:top w:val="single" w:color="auto" w:sz="4" w:space="0"/>
                    <w:bottom w:val="nil"/>
                  </w:tcBorders>
                  <w:vAlign w:val="center"/>
                </w:tcPr>
                <w:p>
                  <w:pPr>
                    <w:pStyle w:val="57"/>
                    <w:keepNext/>
                    <w:keepLines/>
                    <w:pageBreakBefore w:val="0"/>
                    <w:widowControl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beforeLines="0" w:after="180" w:afterLines="0" w:line="240" w:lineRule="auto"/>
                    <w:textAlignment w:val="auto"/>
                    <w:rPr>
                      <w:rFonts w:hint="default"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71" w:type="pct"/>
                  <w:vAlign w:val="center"/>
                </w:tcPr>
                <w:p>
                  <w:pPr>
                    <w:pStyle w:val="57"/>
                    <w:keepNext/>
                    <w:keepLines/>
                    <w:pageBreakBefore w:val="0"/>
                    <w:widowControl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beforeLines="0" w:after="180" w:afterLines="0" w:line="240" w:lineRule="auto"/>
                    <w:textAlignment w:val="auto"/>
                    <w:rPr>
                      <w:rFonts w:hint="default"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hint="default" w:ascii="Times New Roman" w:hAnsi="Times New Roman" w:cs="Times New Roman"/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473" w:type="pct"/>
                </w:tcPr>
                <w:p>
                  <w:pPr>
                    <w:pStyle w:val="57"/>
                    <w:keepNext/>
                    <w:keepLines/>
                    <w:pageBreakBefore w:val="0"/>
                    <w:widowControl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beforeLines="0" w:after="180" w:afterLines="0" w:line="240" w:lineRule="auto"/>
                    <w:textAlignment w:val="auto"/>
                    <w:rPr>
                      <w:rFonts w:hint="default"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73" w:type="pct"/>
                </w:tcPr>
                <w:p>
                  <w:pPr>
                    <w:pStyle w:val="57"/>
                    <w:keepNext/>
                    <w:keepLines/>
                    <w:pageBreakBefore w:val="0"/>
                    <w:widowControl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beforeLines="0" w:after="180" w:afterLines="0" w:line="240" w:lineRule="auto"/>
                    <w:textAlignment w:val="auto"/>
                    <w:rPr>
                      <w:rFonts w:hint="default"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hint="default" w:ascii="Times New Roman" w:hAnsi="Times New Roman" w:cs="Times New Roman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473" w:type="pct"/>
                </w:tcPr>
                <w:p>
                  <w:pPr>
                    <w:pStyle w:val="57"/>
                    <w:keepNext/>
                    <w:keepLines/>
                    <w:pageBreakBefore w:val="0"/>
                    <w:widowControl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beforeLines="0" w:after="180" w:afterLines="0" w:line="240" w:lineRule="auto"/>
                    <w:textAlignment w:val="auto"/>
                    <w:rPr>
                      <w:rFonts w:hint="default"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hint="default" w:ascii="Times New Roman" w:hAnsi="Times New Roman" w:cs="Times New Roman"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473" w:type="pct"/>
                </w:tcPr>
                <w:p>
                  <w:pPr>
                    <w:pStyle w:val="57"/>
                    <w:keepNext/>
                    <w:keepLines/>
                    <w:pageBreakBefore w:val="0"/>
                    <w:widowControl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beforeLines="0" w:after="180" w:afterLines="0" w:line="240" w:lineRule="auto"/>
                    <w:textAlignment w:val="auto"/>
                    <w:rPr>
                      <w:rFonts w:hint="default"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hint="default" w:ascii="Times New Roman" w:hAnsi="Times New Roman" w:cs="Times New Roman"/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473" w:type="pct"/>
                </w:tcPr>
                <w:p>
                  <w:pPr>
                    <w:pStyle w:val="57"/>
                    <w:keepNext/>
                    <w:keepLines/>
                    <w:pageBreakBefore w:val="0"/>
                    <w:widowControl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beforeLines="0" w:after="180" w:afterLines="0" w:line="240" w:lineRule="auto"/>
                    <w:textAlignment w:val="auto"/>
                    <w:rPr>
                      <w:rFonts w:hint="default"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hint="default" w:ascii="Times New Roman" w:hAnsi="Times New Roman" w:cs="Times New Roman"/>
                      <w:sz w:val="20"/>
                      <w:szCs w:val="20"/>
                    </w:rPr>
                    <w:t>20</w:t>
                  </w:r>
                </w:p>
              </w:tc>
              <w:tc>
                <w:tcPr>
                  <w:tcW w:w="384" w:type="pct"/>
                </w:tcPr>
                <w:p>
                  <w:pPr>
                    <w:pStyle w:val="57"/>
                    <w:keepNext/>
                    <w:keepLines/>
                    <w:pageBreakBefore w:val="0"/>
                    <w:widowControl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beforeLines="0" w:after="180" w:afterLines="0" w:line="240" w:lineRule="auto"/>
                    <w:textAlignment w:val="auto"/>
                    <w:rPr>
                      <w:rFonts w:hint="default"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hint="default" w:ascii="Times New Roman" w:hAnsi="Times New Roman" w:cs="Times New Roman"/>
                      <w:sz w:val="20"/>
                      <w:szCs w:val="20"/>
                    </w:rPr>
                    <w:t>25</w:t>
                  </w:r>
                </w:p>
              </w:tc>
              <w:tc>
                <w:tcPr>
                  <w:tcW w:w="384" w:type="pct"/>
                </w:tcPr>
                <w:p>
                  <w:pPr>
                    <w:pStyle w:val="57"/>
                    <w:keepNext/>
                    <w:keepLines/>
                    <w:pageBreakBefore w:val="0"/>
                    <w:widowControl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beforeLines="0" w:after="180" w:afterLines="0" w:line="240" w:lineRule="auto"/>
                    <w:textAlignment w:val="auto"/>
                    <w:rPr>
                      <w:rFonts w:hint="default"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hint="default" w:ascii="Times New Roman" w:hAnsi="Times New Roman" w:cs="Times New Roman"/>
                      <w:sz w:val="20"/>
                      <w:szCs w:val="20"/>
                    </w:rPr>
                    <w:t>30</w:t>
                  </w:r>
                </w:p>
              </w:tc>
              <w:tc>
                <w:tcPr>
                  <w:tcW w:w="384" w:type="pct"/>
                </w:tcPr>
                <w:p>
                  <w:pPr>
                    <w:pStyle w:val="57"/>
                    <w:keepNext/>
                    <w:keepLines/>
                    <w:pageBreakBefore w:val="0"/>
                    <w:widowControl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beforeLines="0" w:after="180" w:afterLines="0" w:line="240" w:lineRule="auto"/>
                    <w:textAlignment w:val="auto"/>
                    <w:rPr>
                      <w:rFonts w:hint="default"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hint="default" w:ascii="Times New Roman" w:hAnsi="Times New Roman" w:cs="Times New Roman"/>
                      <w:bCs/>
                      <w:sz w:val="20"/>
                      <w:szCs w:val="20"/>
                    </w:rPr>
                    <w:t>35</w:t>
                  </w:r>
                </w:p>
              </w:tc>
              <w:tc>
                <w:tcPr>
                  <w:tcW w:w="388" w:type="pct"/>
                </w:tcPr>
                <w:p>
                  <w:pPr>
                    <w:pStyle w:val="57"/>
                    <w:keepNext/>
                    <w:keepLines/>
                    <w:pageBreakBefore w:val="0"/>
                    <w:widowControl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beforeLines="0" w:after="180" w:afterLines="0" w:line="240" w:lineRule="auto"/>
                    <w:textAlignment w:val="auto"/>
                    <w:rPr>
                      <w:rFonts w:hint="default"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hint="default" w:ascii="Times New Roman" w:hAnsi="Times New Roman" w:cs="Times New Roman"/>
                      <w:bCs/>
                      <w:sz w:val="20"/>
                      <w:szCs w:val="20"/>
                    </w:rPr>
                    <w:t>40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cantSplit/>
                <w:jc w:val="center"/>
              </w:trPr>
              <w:tc>
                <w:tcPr>
                  <w:tcW w:w="622" w:type="pct"/>
                  <w:tcBorders>
                    <w:top w:val="nil"/>
                    <w:bottom w:val="nil"/>
                  </w:tcBorders>
                  <w:vAlign w:val="center"/>
                </w:tcPr>
                <w:p>
                  <w:pPr>
                    <w:pStyle w:val="57"/>
                    <w:keepNext/>
                    <w:keepLines/>
                    <w:pageBreakBefore w:val="0"/>
                    <w:widowControl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beforeLines="0" w:after="180" w:afterLines="0" w:line="240" w:lineRule="auto"/>
                    <w:textAlignment w:val="auto"/>
                    <w:rPr>
                      <w:rFonts w:hint="default"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hint="default" w:ascii="Times New Roman" w:hAnsi="Times New Roman" w:cs="Times New Roman"/>
                      <w:sz w:val="20"/>
                      <w:szCs w:val="20"/>
                      <w:lang w:val="en-US"/>
                    </w:rPr>
                    <w:t>[n25x]</w:t>
                  </w:r>
                </w:p>
              </w:tc>
              <w:tc>
                <w:tcPr>
                  <w:tcW w:w="471" w:type="pct"/>
                  <w:vAlign w:val="center"/>
                </w:tcPr>
                <w:p>
                  <w:pPr>
                    <w:pStyle w:val="57"/>
                    <w:keepNext/>
                    <w:keepLines/>
                    <w:pageBreakBefore w:val="0"/>
                    <w:widowControl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beforeLines="0" w:after="180" w:afterLines="0" w:line="240" w:lineRule="auto"/>
                    <w:textAlignment w:val="auto"/>
                    <w:rPr>
                      <w:rFonts w:hint="default"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hint="default" w:ascii="Times New Roman" w:hAnsi="Times New Roman" w:cs="Times New Roman"/>
                      <w:sz w:val="20"/>
                      <w:szCs w:val="20"/>
                    </w:rPr>
                    <w:t>30</w:t>
                  </w:r>
                </w:p>
              </w:tc>
              <w:tc>
                <w:tcPr>
                  <w:tcW w:w="473" w:type="pct"/>
                </w:tcPr>
                <w:p>
                  <w:pPr>
                    <w:pStyle w:val="57"/>
                    <w:keepNext/>
                    <w:keepLines/>
                    <w:pageBreakBefore w:val="0"/>
                    <w:widowControl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beforeLines="0" w:after="180" w:afterLines="0" w:line="240" w:lineRule="auto"/>
                    <w:textAlignment w:val="auto"/>
                    <w:rPr>
                      <w:rFonts w:hint="default"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73" w:type="pct"/>
                </w:tcPr>
                <w:p>
                  <w:pPr>
                    <w:pStyle w:val="57"/>
                    <w:keepNext/>
                    <w:keepLines/>
                    <w:pageBreakBefore w:val="0"/>
                    <w:widowControl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beforeLines="0" w:after="180" w:afterLines="0" w:line="240" w:lineRule="auto"/>
                    <w:textAlignment w:val="auto"/>
                    <w:rPr>
                      <w:rFonts w:hint="default"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73" w:type="pct"/>
                </w:tcPr>
                <w:p>
                  <w:pPr>
                    <w:pStyle w:val="57"/>
                    <w:keepNext/>
                    <w:keepLines/>
                    <w:pageBreakBefore w:val="0"/>
                    <w:widowControl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beforeLines="0" w:after="180" w:afterLines="0" w:line="240" w:lineRule="auto"/>
                    <w:textAlignment w:val="auto"/>
                    <w:rPr>
                      <w:rFonts w:hint="default"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hint="default" w:ascii="Times New Roman" w:hAnsi="Times New Roman" w:cs="Times New Roman"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473" w:type="pct"/>
                </w:tcPr>
                <w:p>
                  <w:pPr>
                    <w:pStyle w:val="57"/>
                    <w:keepNext/>
                    <w:keepLines/>
                    <w:pageBreakBefore w:val="0"/>
                    <w:widowControl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beforeLines="0" w:after="180" w:afterLines="0" w:line="240" w:lineRule="auto"/>
                    <w:textAlignment w:val="auto"/>
                    <w:rPr>
                      <w:rFonts w:hint="default"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hint="default" w:ascii="Times New Roman" w:hAnsi="Times New Roman" w:cs="Times New Roman"/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473" w:type="pct"/>
                </w:tcPr>
                <w:p>
                  <w:pPr>
                    <w:pStyle w:val="57"/>
                    <w:keepNext/>
                    <w:keepLines/>
                    <w:pageBreakBefore w:val="0"/>
                    <w:widowControl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beforeLines="0" w:after="180" w:afterLines="0" w:line="240" w:lineRule="auto"/>
                    <w:textAlignment w:val="auto"/>
                    <w:rPr>
                      <w:rFonts w:hint="default"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hint="default" w:ascii="Times New Roman" w:hAnsi="Times New Roman" w:cs="Times New Roman"/>
                      <w:sz w:val="20"/>
                      <w:szCs w:val="20"/>
                    </w:rPr>
                    <w:t>20</w:t>
                  </w:r>
                </w:p>
              </w:tc>
              <w:tc>
                <w:tcPr>
                  <w:tcW w:w="384" w:type="pct"/>
                </w:tcPr>
                <w:p>
                  <w:pPr>
                    <w:pStyle w:val="57"/>
                    <w:keepNext/>
                    <w:keepLines/>
                    <w:pageBreakBefore w:val="0"/>
                    <w:widowControl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beforeLines="0" w:after="180" w:afterLines="0" w:line="240" w:lineRule="auto"/>
                    <w:textAlignment w:val="auto"/>
                    <w:rPr>
                      <w:rFonts w:hint="default"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hint="default" w:ascii="Times New Roman" w:hAnsi="Times New Roman" w:cs="Times New Roman"/>
                      <w:sz w:val="20"/>
                      <w:szCs w:val="20"/>
                    </w:rPr>
                    <w:t>25</w:t>
                  </w:r>
                </w:p>
              </w:tc>
              <w:tc>
                <w:tcPr>
                  <w:tcW w:w="384" w:type="pct"/>
                </w:tcPr>
                <w:p>
                  <w:pPr>
                    <w:pStyle w:val="57"/>
                    <w:keepNext/>
                    <w:keepLines/>
                    <w:pageBreakBefore w:val="0"/>
                    <w:widowControl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beforeLines="0" w:after="180" w:afterLines="0" w:line="240" w:lineRule="auto"/>
                    <w:textAlignment w:val="auto"/>
                    <w:rPr>
                      <w:rFonts w:hint="default"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hint="default" w:ascii="Times New Roman" w:hAnsi="Times New Roman" w:cs="Times New Roman"/>
                      <w:sz w:val="20"/>
                      <w:szCs w:val="20"/>
                    </w:rPr>
                    <w:t>30</w:t>
                  </w:r>
                </w:p>
              </w:tc>
              <w:tc>
                <w:tcPr>
                  <w:tcW w:w="384" w:type="pct"/>
                </w:tcPr>
                <w:p>
                  <w:pPr>
                    <w:pStyle w:val="57"/>
                    <w:keepNext/>
                    <w:keepLines/>
                    <w:pageBreakBefore w:val="0"/>
                    <w:widowControl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beforeLines="0" w:after="180" w:afterLines="0" w:line="240" w:lineRule="auto"/>
                    <w:textAlignment w:val="auto"/>
                    <w:rPr>
                      <w:rFonts w:hint="default"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hint="default" w:ascii="Times New Roman" w:hAnsi="Times New Roman" w:cs="Times New Roman"/>
                      <w:bCs/>
                      <w:sz w:val="20"/>
                      <w:szCs w:val="20"/>
                    </w:rPr>
                    <w:t>35</w:t>
                  </w:r>
                </w:p>
              </w:tc>
              <w:tc>
                <w:tcPr>
                  <w:tcW w:w="388" w:type="pct"/>
                </w:tcPr>
                <w:p>
                  <w:pPr>
                    <w:pStyle w:val="57"/>
                    <w:keepNext/>
                    <w:keepLines/>
                    <w:pageBreakBefore w:val="0"/>
                    <w:widowControl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beforeLines="0" w:after="180" w:afterLines="0" w:line="240" w:lineRule="auto"/>
                    <w:textAlignment w:val="auto"/>
                    <w:rPr>
                      <w:rFonts w:hint="default"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hint="default" w:ascii="Times New Roman" w:hAnsi="Times New Roman" w:cs="Times New Roman"/>
                      <w:bCs/>
                      <w:sz w:val="20"/>
                      <w:szCs w:val="20"/>
                    </w:rPr>
                    <w:t>40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cantSplit/>
                <w:jc w:val="center"/>
              </w:trPr>
              <w:tc>
                <w:tcPr>
                  <w:tcW w:w="622" w:type="pct"/>
                  <w:tcBorders>
                    <w:top w:val="nil"/>
                    <w:bottom w:val="single" w:color="auto" w:sz="4" w:space="0"/>
                  </w:tcBorders>
                  <w:vAlign w:val="center"/>
                </w:tcPr>
                <w:p>
                  <w:pPr>
                    <w:pStyle w:val="57"/>
                    <w:keepNext/>
                    <w:keepLines/>
                    <w:pageBreakBefore w:val="0"/>
                    <w:widowControl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beforeLines="0" w:after="180" w:afterLines="0" w:line="240" w:lineRule="auto"/>
                    <w:textAlignment w:val="auto"/>
                    <w:rPr>
                      <w:rFonts w:hint="default"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471" w:type="pct"/>
                  <w:tcBorders>
                    <w:bottom w:val="single" w:color="auto" w:sz="4" w:space="0"/>
                  </w:tcBorders>
                  <w:vAlign w:val="center"/>
                </w:tcPr>
                <w:p>
                  <w:pPr>
                    <w:pStyle w:val="57"/>
                    <w:keepNext/>
                    <w:keepLines/>
                    <w:pageBreakBefore w:val="0"/>
                    <w:widowControl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beforeLines="0" w:after="180" w:afterLines="0" w:line="240" w:lineRule="auto"/>
                    <w:textAlignment w:val="auto"/>
                    <w:rPr>
                      <w:rFonts w:hint="default"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hint="default" w:ascii="Times New Roman" w:hAnsi="Times New Roman" w:cs="Times New Roman"/>
                      <w:sz w:val="20"/>
                      <w:szCs w:val="20"/>
                    </w:rPr>
                    <w:t>60</w:t>
                  </w:r>
                </w:p>
              </w:tc>
              <w:tc>
                <w:tcPr>
                  <w:tcW w:w="473" w:type="pct"/>
                  <w:tcBorders>
                    <w:bottom w:val="single" w:color="auto" w:sz="4" w:space="0"/>
                  </w:tcBorders>
                </w:tcPr>
                <w:p>
                  <w:pPr>
                    <w:pStyle w:val="57"/>
                    <w:keepNext/>
                    <w:keepLines/>
                    <w:pageBreakBefore w:val="0"/>
                    <w:widowControl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beforeLines="0" w:after="180" w:afterLines="0" w:line="240" w:lineRule="auto"/>
                    <w:textAlignment w:val="auto"/>
                    <w:rPr>
                      <w:rFonts w:hint="default"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73" w:type="pct"/>
                  <w:tcBorders>
                    <w:bottom w:val="single" w:color="auto" w:sz="4" w:space="0"/>
                  </w:tcBorders>
                </w:tcPr>
                <w:p>
                  <w:pPr>
                    <w:pStyle w:val="57"/>
                    <w:keepNext/>
                    <w:keepLines/>
                    <w:pageBreakBefore w:val="0"/>
                    <w:widowControl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beforeLines="0" w:after="180" w:afterLines="0" w:line="240" w:lineRule="auto"/>
                    <w:textAlignment w:val="auto"/>
                    <w:rPr>
                      <w:rFonts w:hint="default"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73" w:type="pct"/>
                  <w:tcBorders>
                    <w:bottom w:val="single" w:color="auto" w:sz="4" w:space="0"/>
                  </w:tcBorders>
                </w:tcPr>
                <w:p>
                  <w:pPr>
                    <w:pStyle w:val="57"/>
                    <w:keepNext/>
                    <w:keepLines/>
                    <w:pageBreakBefore w:val="0"/>
                    <w:widowControl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beforeLines="0" w:after="180" w:afterLines="0" w:line="240" w:lineRule="auto"/>
                    <w:textAlignment w:val="auto"/>
                    <w:rPr>
                      <w:rFonts w:hint="default"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hint="default" w:ascii="Times New Roman" w:hAnsi="Times New Roman" w:cs="Times New Roman"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473" w:type="pct"/>
                  <w:tcBorders>
                    <w:bottom w:val="single" w:color="auto" w:sz="4" w:space="0"/>
                  </w:tcBorders>
                </w:tcPr>
                <w:p>
                  <w:pPr>
                    <w:pStyle w:val="57"/>
                    <w:keepNext/>
                    <w:keepLines/>
                    <w:pageBreakBefore w:val="0"/>
                    <w:widowControl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beforeLines="0" w:after="180" w:afterLines="0" w:line="240" w:lineRule="auto"/>
                    <w:textAlignment w:val="auto"/>
                    <w:rPr>
                      <w:rFonts w:hint="default"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hint="default" w:ascii="Times New Roman" w:hAnsi="Times New Roman" w:cs="Times New Roman"/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473" w:type="pct"/>
                  <w:tcBorders>
                    <w:bottom w:val="single" w:color="auto" w:sz="4" w:space="0"/>
                  </w:tcBorders>
                </w:tcPr>
                <w:p>
                  <w:pPr>
                    <w:pStyle w:val="57"/>
                    <w:keepNext/>
                    <w:keepLines/>
                    <w:pageBreakBefore w:val="0"/>
                    <w:widowControl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beforeLines="0" w:after="180" w:afterLines="0" w:line="240" w:lineRule="auto"/>
                    <w:textAlignment w:val="auto"/>
                    <w:rPr>
                      <w:rFonts w:hint="default"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hint="default" w:ascii="Times New Roman" w:hAnsi="Times New Roman" w:cs="Times New Roman"/>
                      <w:sz w:val="20"/>
                      <w:szCs w:val="20"/>
                    </w:rPr>
                    <w:t>20</w:t>
                  </w:r>
                </w:p>
              </w:tc>
              <w:tc>
                <w:tcPr>
                  <w:tcW w:w="384" w:type="pct"/>
                  <w:tcBorders>
                    <w:bottom w:val="single" w:color="auto" w:sz="4" w:space="0"/>
                  </w:tcBorders>
                </w:tcPr>
                <w:p>
                  <w:pPr>
                    <w:pStyle w:val="57"/>
                    <w:keepNext/>
                    <w:keepLines/>
                    <w:pageBreakBefore w:val="0"/>
                    <w:widowControl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beforeLines="0" w:after="180" w:afterLines="0" w:line="240" w:lineRule="auto"/>
                    <w:textAlignment w:val="auto"/>
                    <w:rPr>
                      <w:rFonts w:hint="default"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hint="default" w:ascii="Times New Roman" w:hAnsi="Times New Roman" w:cs="Times New Roman"/>
                      <w:sz w:val="20"/>
                      <w:szCs w:val="20"/>
                    </w:rPr>
                    <w:t>25</w:t>
                  </w:r>
                </w:p>
              </w:tc>
              <w:tc>
                <w:tcPr>
                  <w:tcW w:w="384" w:type="pct"/>
                  <w:tcBorders>
                    <w:bottom w:val="single" w:color="auto" w:sz="4" w:space="0"/>
                  </w:tcBorders>
                </w:tcPr>
                <w:p>
                  <w:pPr>
                    <w:pStyle w:val="57"/>
                    <w:keepNext/>
                    <w:keepLines/>
                    <w:pageBreakBefore w:val="0"/>
                    <w:widowControl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beforeLines="0" w:after="180" w:afterLines="0" w:line="240" w:lineRule="auto"/>
                    <w:textAlignment w:val="auto"/>
                    <w:rPr>
                      <w:rFonts w:hint="default"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hint="default" w:ascii="Times New Roman" w:hAnsi="Times New Roman" w:cs="Times New Roman"/>
                      <w:sz w:val="20"/>
                      <w:szCs w:val="20"/>
                    </w:rPr>
                    <w:t>30</w:t>
                  </w:r>
                </w:p>
              </w:tc>
              <w:tc>
                <w:tcPr>
                  <w:tcW w:w="384" w:type="pct"/>
                  <w:tcBorders>
                    <w:bottom w:val="single" w:color="auto" w:sz="4" w:space="0"/>
                  </w:tcBorders>
                </w:tcPr>
                <w:p>
                  <w:pPr>
                    <w:pStyle w:val="57"/>
                    <w:keepNext/>
                    <w:keepLines/>
                    <w:pageBreakBefore w:val="0"/>
                    <w:widowControl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beforeLines="0" w:after="180" w:afterLines="0" w:line="240" w:lineRule="auto"/>
                    <w:textAlignment w:val="auto"/>
                    <w:rPr>
                      <w:rFonts w:hint="default"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hint="default" w:ascii="Times New Roman" w:hAnsi="Times New Roman" w:cs="Times New Roman"/>
                      <w:bCs/>
                      <w:sz w:val="20"/>
                      <w:szCs w:val="20"/>
                    </w:rPr>
                    <w:t>35</w:t>
                  </w:r>
                </w:p>
              </w:tc>
              <w:tc>
                <w:tcPr>
                  <w:tcW w:w="388" w:type="pct"/>
                  <w:tcBorders>
                    <w:bottom w:val="single" w:color="auto" w:sz="4" w:space="0"/>
                  </w:tcBorders>
                </w:tcPr>
                <w:p>
                  <w:pPr>
                    <w:pStyle w:val="57"/>
                    <w:keepNext/>
                    <w:keepLines/>
                    <w:pageBreakBefore w:val="0"/>
                    <w:widowControl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beforeLines="0" w:after="180" w:afterLines="0" w:line="240" w:lineRule="auto"/>
                    <w:textAlignment w:val="auto"/>
                    <w:rPr>
                      <w:rFonts w:hint="default"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hint="default" w:ascii="Times New Roman" w:hAnsi="Times New Roman" w:cs="Times New Roman"/>
                      <w:bCs/>
                      <w:sz w:val="20"/>
                      <w:szCs w:val="20"/>
                    </w:rPr>
                    <w:t>40</w:t>
                  </w:r>
                </w:p>
              </w:tc>
            </w:tr>
          </w:tbl>
          <w:p>
            <w:pPr>
              <w:pStyle w:val="47"/>
              <w:overflowPunct w:val="0"/>
              <w:autoSpaceDE w:val="0"/>
              <w:autoSpaceDN w:val="0"/>
              <w:adjustRightInd w:val="0"/>
              <w:spacing w:after="180"/>
              <w:ind w:left="644" w:firstLine="0"/>
              <w:textAlignment w:val="baseline"/>
              <w:rPr>
                <w:sz w:val="20"/>
                <w:szCs w:val="20"/>
              </w:rPr>
            </w:pPr>
          </w:p>
          <w:p>
            <w:pPr>
              <w:pStyle w:val="47"/>
              <w:numPr>
                <w:ilvl w:val="1"/>
                <w:numId w:val="8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Support Asymmetric UE TX-RX Channel BW configurations to allow leveraging the 41 MHz contiguous DL allocation with a smaller UL allocation. </w:t>
            </w:r>
          </w:p>
          <w:p>
            <w:pPr>
              <w:pStyle w:val="47"/>
              <w:overflowPunct w:val="0"/>
              <w:autoSpaceDE w:val="0"/>
              <w:autoSpaceDN w:val="0"/>
              <w:adjustRightInd w:val="0"/>
              <w:spacing w:after="180"/>
              <w:ind w:left="1364" w:firstLine="0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NOTE: UL channel allocations spanning across the 1660.5-1668 MHz gap shall not be allowed</w:t>
            </w:r>
          </w:p>
          <w:p>
            <w:pPr>
              <w:pStyle w:val="47"/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For these bands, the following shall be specified: </w:t>
            </w:r>
          </w:p>
          <w:p>
            <w:pPr>
              <w:pStyle w:val="34"/>
              <w:numPr>
                <w:ilvl w:val="1"/>
                <w:numId w:val="8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Support Flexible TX-RX Separation</w:t>
            </w:r>
          </w:p>
          <w:p>
            <w:pPr>
              <w:pStyle w:val="47"/>
              <w:numPr>
                <w:ilvl w:val="1"/>
                <w:numId w:val="8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Mandatory support for Enhanced Channel Raster with raster points at step of 10kHz </w:t>
            </w:r>
          </w:p>
          <w:p>
            <w:pPr>
              <w:pStyle w:val="47"/>
              <w:numPr>
                <w:ilvl w:val="1"/>
                <w:numId w:val="8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Support UE Power class 3 (+23 dBm) as a starting point</w:t>
            </w:r>
          </w:p>
          <w:p>
            <w:pPr>
              <w:pStyle w:val="47"/>
              <w:numPr>
                <w:ilvl w:val="1"/>
                <w:numId w:val="8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Introduce the corresponding SAN and UE RF core requirements;</w:t>
            </w:r>
          </w:p>
          <w:p>
            <w:pPr>
              <w:pStyle w:val="47"/>
              <w:numPr>
                <w:ilvl w:val="1"/>
                <w:numId w:val="8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Introduce the corresponding RRM requirements.</w:t>
            </w:r>
          </w:p>
          <w:p>
            <w:pPr>
              <w:pStyle w:val="47"/>
              <w:numPr>
                <w:ilvl w:val="1"/>
                <w:numId w:val="8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Requirements for protection of the Radio Astronomy in the 1660-1670 MHz range shall be captured </w:t>
            </w:r>
          </w:p>
          <w:p>
            <w:pPr>
              <w:pStyle w:val="47"/>
              <w:numPr>
                <w:ilvl w:val="1"/>
                <w:numId w:val="8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Any relevant additional Regional requirements and restrictions will also be captured.</w:t>
            </w:r>
          </w:p>
          <w:p>
            <w:pPr>
              <w:pStyle w:val="47"/>
              <w:numPr>
                <w:ilvl w:val="2"/>
                <w:numId w:val="8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NOTE1: The introduction of ETSI-specific requirements is expected to be addressed at a later stage, due to ongoing discussions within ETSI in respect to NTN</w:t>
            </w:r>
          </w:p>
          <w:p>
            <w:pPr>
              <w:pStyle w:val="47"/>
              <w:numPr>
                <w:ilvl w:val="2"/>
                <w:numId w:val="8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NOTE2: The 1668-1675 MHz range is presently not available for MSS in the continental United States.</w:t>
            </w:r>
          </w:p>
          <w:p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  <w:sz w:val="20"/>
                <w:szCs w:val="20"/>
              </w:rPr>
            </w:pPr>
          </w:p>
          <w:p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NOTE: The specification work in this WI shall leverage the studies and requirements for NR NTN n255, and the corresponding IoT NTN Work Item (IoT_NTN_extLband) for Band 253, where applicable.</w:t>
            </w:r>
          </w:p>
          <w:p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  <w:sz w:val="20"/>
                <w:szCs w:val="20"/>
              </w:rPr>
            </w:pPr>
          </w:p>
          <w:p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All UE requirements specified as part of this WI shall be Release-independent for the UE starting from Release-17.</w:t>
            </w:r>
          </w:p>
          <w:p>
            <w:pPr>
              <w:pStyle w:val="34"/>
              <w:overflowPunct/>
              <w:autoSpaceDE/>
              <w:autoSpaceDN/>
              <w:adjustRightInd/>
              <w:spacing w:before="0" w:beforeAutospacing="0" w:after="160" w:afterAutospacing="0" w:line="259" w:lineRule="auto"/>
              <w:contextualSpacing/>
              <w:jc w:val="both"/>
              <w:textAlignment w:val="auto"/>
              <w:rPr>
                <w:rFonts w:hint="default" w:eastAsia="宋体"/>
                <w:i w:val="0"/>
                <w:iCs w:val="0"/>
                <w:sz w:val="20"/>
                <w:szCs w:val="20"/>
                <w:vertAlign w:val="baseline"/>
                <w:lang w:val="en-US" w:eastAsia="zh-CN"/>
              </w:rPr>
            </w:pPr>
          </w:p>
        </w:tc>
      </w:tr>
    </w:tbl>
    <w:p>
      <w:pPr>
        <w:keepNext/>
        <w:keepLines/>
        <w:pageBreakBefore w:val="0"/>
        <w:widowControl/>
        <w:numPr>
          <w:ilvl w:val="-1"/>
          <w:numId w:val="0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pacing w:before="120" w:line="240" w:lineRule="auto"/>
        <w:ind w:left="0" w:firstLine="0"/>
        <w:textAlignment w:val="baseline"/>
        <w:rPr>
          <w:rFonts w:hint="default"/>
          <w:i w:val="0"/>
          <w:iCs w:val="0"/>
          <w:sz w:val="20"/>
          <w:szCs w:val="20"/>
          <w:lang w:val="en-US" w:eastAsia="zh-CN"/>
        </w:rPr>
      </w:pPr>
    </w:p>
    <w:p>
      <w:pPr>
        <w:keepNext w:val="0"/>
        <w:keepLines w:val="0"/>
        <w:pageBreakBefore w:val="0"/>
        <w:widowControl w:val="0"/>
        <w:pBdr>
          <w:top w:val="single" w:color="auto" w:sz="12" w:space="3"/>
        </w:pBdr>
        <w:kinsoku/>
        <w:wordWrap/>
        <w:topLinePunct w:val="0"/>
        <w:bidi w:val="0"/>
        <w:snapToGrid/>
        <w:spacing w:beforeLines="0" w:after="120" w:afterLines="0"/>
        <w:jc w:val="left"/>
        <w:outlineLvl w:val="0"/>
        <w:rPr>
          <w:b/>
          <w:kern w:val="0"/>
          <w:sz w:val="28"/>
          <w:szCs w:val="28"/>
          <w:highlight w:val="none"/>
        </w:rPr>
      </w:pPr>
      <w:r>
        <w:rPr>
          <w:b/>
          <w:kern w:val="0"/>
          <w:sz w:val="28"/>
          <w:szCs w:val="28"/>
          <w:highlight w:val="none"/>
        </w:rPr>
        <w:t>2</w:t>
      </w:r>
      <w:r>
        <w:rPr>
          <w:rFonts w:hint="eastAsia"/>
          <w:b/>
          <w:kern w:val="0"/>
          <w:sz w:val="28"/>
          <w:szCs w:val="28"/>
          <w:highlight w:val="none"/>
          <w:lang w:val="en-US" w:eastAsia="zh-CN"/>
        </w:rPr>
        <w:t xml:space="preserve"> </w:t>
      </w:r>
      <w:r>
        <w:rPr>
          <w:b/>
          <w:kern w:val="0"/>
          <w:sz w:val="28"/>
          <w:szCs w:val="28"/>
          <w:highlight w:val="none"/>
        </w:rPr>
        <w:t>Discussion</w:t>
      </w:r>
    </w:p>
    <w:p>
      <w:pPr>
        <w:bidi w:val="0"/>
        <w:rPr>
          <w:rFonts w:hint="eastAsia"/>
          <w:sz w:val="20"/>
          <w:szCs w:val="18"/>
          <w:lang w:val="en-US" w:eastAsia="zh-CN"/>
        </w:rPr>
      </w:pPr>
      <w:r>
        <w:rPr>
          <w:rFonts w:hint="eastAsia"/>
          <w:sz w:val="20"/>
          <w:szCs w:val="18"/>
          <w:lang w:val="en-US" w:eastAsia="zh-CN"/>
        </w:rPr>
        <w:t>The following SAN RF requirements need to be defined for the new NR NTN bands supporting the Extended L-band (UL 1668-1675MHz, DL 1518-1525MHz) and the combined MSS L-band and Extended L-band ranges (DL 1518-1559 MHz, UL 1626.5-1660.5 MHz and 1668-1675 MHz).</w:t>
      </w:r>
    </w:p>
    <w:p>
      <w:pPr>
        <w:jc w:val="center"/>
        <w:rPr>
          <w:rFonts w:hint="default" w:cs="Times New Roman"/>
          <w:b/>
          <w:bCs/>
          <w:kern w:val="2"/>
          <w:sz w:val="20"/>
          <w:szCs w:val="20"/>
          <w:lang w:val="en-US" w:eastAsia="zh-CN" w:bidi="ar-SA"/>
        </w:rPr>
      </w:pPr>
      <w:r>
        <w:rPr>
          <w:rFonts w:hint="eastAsia" w:cs="Times New Roman"/>
          <w:b/>
          <w:bCs/>
          <w:kern w:val="2"/>
          <w:sz w:val="20"/>
          <w:szCs w:val="20"/>
          <w:lang w:val="en-US" w:eastAsia="zh-CN" w:bidi="ar-SA"/>
        </w:rPr>
        <w:t>Table 1: SAN RF requirements for the new NR-NTN bands</w:t>
      </w:r>
    </w:p>
    <w:tbl>
      <w:tblPr>
        <w:tblStyle w:val="23"/>
        <w:tblW w:w="0" w:type="auto"/>
        <w:tblInd w:w="0" w:type="dxa"/>
        <w:tblLayout w:type="autofit"/>
        <w:tblCellMar>
          <w:top w:w="0" w:type="dxa"/>
          <w:left w:w="70" w:type="dxa"/>
          <w:bottom w:w="0" w:type="dxa"/>
          <w:right w:w="70" w:type="dxa"/>
        </w:tblCellMar>
      </w:tblPr>
      <w:tblGrid>
        <w:gridCol w:w="3499"/>
        <w:gridCol w:w="6301"/>
      </w:tblGrid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1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top"/>
          </w:tcPr>
          <w:p>
            <w:pPr>
              <w:spacing w:after="0"/>
              <w:rPr>
                <w:rFonts w:ascii="Calibri" w:hAnsi="Calibri" w:eastAsia="Times New Roman" w:cs="Calibri"/>
                <w:b/>
                <w:bCs/>
                <w:color w:val="000000"/>
                <w:sz w:val="20"/>
                <w:szCs w:val="20"/>
                <w:lang w:eastAsia="fi-FI"/>
              </w:rPr>
            </w:pPr>
            <w:r>
              <w:rPr>
                <w:b/>
                <w:bCs/>
                <w:sz w:val="20"/>
                <w:szCs w:val="20"/>
              </w:rPr>
              <w:t>NR BS RF Tx/Rx requirement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top"/>
          </w:tcPr>
          <w:p>
            <w:pPr>
              <w:spacing w:after="0"/>
              <w:rPr>
                <w:rFonts w:hint="eastAsia" w:ascii="Calibri" w:hAnsi="Calibri" w:eastAsia="宋体" w:cs="Calibri"/>
                <w:b/>
                <w:bCs/>
                <w:color w:val="000000"/>
                <w:sz w:val="20"/>
                <w:szCs w:val="20"/>
                <w:lang w:val="en-US" w:eastAsia="zh-CN"/>
              </w:rPr>
            </w:pPr>
            <w:r>
              <w:rPr>
                <w:b/>
                <w:bCs/>
                <w:sz w:val="20"/>
                <w:szCs w:val="20"/>
              </w:rPr>
              <w:t>Proposal for</w:t>
            </w:r>
            <w:r>
              <w:rPr>
                <w:rFonts w:hint="eastAsia"/>
                <w:b/>
                <w:bCs/>
                <w:sz w:val="20"/>
                <w:szCs w:val="20"/>
              </w:rPr>
              <w:t xml:space="preserve"> the new NR-NTN band</w:t>
            </w:r>
            <w:r>
              <w:rPr>
                <w:rFonts w:hint="eastAsia"/>
                <w:b/>
                <w:bCs/>
                <w:sz w:val="20"/>
                <w:szCs w:val="20"/>
                <w:lang w:val="en-US" w:eastAsia="zh-CN"/>
              </w:rPr>
              <w:t>s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10" w:hRule="atLeast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top"/>
          </w:tcPr>
          <w:p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</w:pPr>
            <w:r>
              <w:rPr>
                <w:sz w:val="20"/>
                <w:szCs w:val="20"/>
              </w:rPr>
              <w:t xml:space="preserve">6.2 </w:t>
            </w:r>
            <w:r>
              <w:rPr>
                <w:rFonts w:hint="eastAsia"/>
                <w:sz w:val="20"/>
                <w:szCs w:val="20"/>
              </w:rPr>
              <w:t xml:space="preserve">Satellite Access Node output power 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spacing w:after="0"/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>Not band specific</w:t>
            </w:r>
            <w:r>
              <w:rPr>
                <w:rFonts w:eastAsia="Times New Roman"/>
                <w:color w:val="000000"/>
                <w:sz w:val="20"/>
                <w:szCs w:val="20"/>
                <w:lang w:eastAsia="fi-FI"/>
              </w:rPr>
              <w:t xml:space="preserve"> --&gt; </w:t>
            </w: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>No specification impact.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580" w:hRule="atLeast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top"/>
          </w:tcPr>
          <w:p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</w:pPr>
            <w:r>
              <w:rPr>
                <w:sz w:val="20"/>
                <w:szCs w:val="20"/>
              </w:rPr>
              <w:t>6.3.2 RE power control dynamic range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top"/>
          </w:tcPr>
          <w:p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eastAsia="fi-FI"/>
              </w:rPr>
            </w:pP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>Not band specific</w:t>
            </w:r>
            <w:r>
              <w:rPr>
                <w:rFonts w:eastAsia="Times New Roman"/>
                <w:color w:val="000000"/>
                <w:sz w:val="20"/>
                <w:szCs w:val="20"/>
                <w:lang w:eastAsia="fi-FI"/>
              </w:rPr>
              <w:t xml:space="preserve"> --&gt; </w:t>
            </w: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>No specification impact.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870" w:hRule="atLeast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top"/>
          </w:tcPr>
          <w:p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</w:pPr>
            <w:r>
              <w:rPr>
                <w:sz w:val="20"/>
                <w:szCs w:val="20"/>
              </w:rPr>
              <w:t>6.3.3 Total power dynamic range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spacing w:after="160" w:line="259" w:lineRule="auto"/>
              <w:rPr>
                <w:rFonts w:eastAsia="Times New Roman"/>
                <w:strike/>
                <w:color w:val="000000"/>
                <w:sz w:val="20"/>
                <w:szCs w:val="20"/>
              </w:rPr>
            </w:pP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>Not band specific</w:t>
            </w:r>
            <w:r>
              <w:rPr>
                <w:rFonts w:eastAsia="Times New Roman"/>
                <w:color w:val="000000"/>
                <w:sz w:val="20"/>
                <w:szCs w:val="20"/>
                <w:lang w:eastAsia="fi-FI"/>
              </w:rPr>
              <w:t xml:space="preserve"> --&gt; </w:t>
            </w: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>No specification impact.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870" w:hRule="atLeast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top"/>
          </w:tcPr>
          <w:p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</w:pPr>
            <w:r>
              <w:rPr>
                <w:sz w:val="20"/>
                <w:szCs w:val="20"/>
              </w:rPr>
              <w:t>6.4 Transmit ON/OFF power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spacing w:after="0"/>
              <w:rPr>
                <w:rFonts w:hint="default" w:eastAsia="宋体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sz w:val="20"/>
                <w:szCs w:val="20"/>
              </w:rPr>
              <w:t>No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t applicable to SAN</w:t>
            </w:r>
            <w:r>
              <w:rPr>
                <w:rFonts w:eastAsia="Times New Roman"/>
                <w:color w:val="000000"/>
                <w:sz w:val="20"/>
                <w:szCs w:val="20"/>
                <w:lang w:eastAsia="fi-FI"/>
              </w:rPr>
              <w:t xml:space="preserve"> --&gt; </w:t>
            </w: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>N</w:t>
            </w:r>
            <w:r>
              <w:rPr>
                <w:rFonts w:eastAsia="Times New Roman"/>
                <w:color w:val="000000"/>
                <w:sz w:val="20"/>
                <w:szCs w:val="20"/>
                <w:lang w:eastAsia="fi-FI"/>
              </w:rPr>
              <w:t>o specification impact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580" w:hRule="atLeast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top"/>
          </w:tcPr>
          <w:p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</w:pPr>
            <w:r>
              <w:rPr>
                <w:sz w:val="20"/>
                <w:szCs w:val="20"/>
              </w:rPr>
              <w:t>6.5 Transmitted signal quality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spacing w:after="0"/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>Not band specific</w:t>
            </w:r>
            <w:r>
              <w:rPr>
                <w:rFonts w:eastAsia="Times New Roman"/>
                <w:color w:val="000000"/>
                <w:sz w:val="20"/>
                <w:szCs w:val="20"/>
                <w:lang w:eastAsia="fi-FI"/>
              </w:rPr>
              <w:t xml:space="preserve"> --&gt; </w:t>
            </w: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>No specification impact.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90" w:hRule="atLeast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top"/>
          </w:tcPr>
          <w:p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eastAsia="fi-FI"/>
              </w:rPr>
            </w:pPr>
            <w:r>
              <w:rPr>
                <w:sz w:val="20"/>
                <w:szCs w:val="20"/>
              </w:rPr>
              <w:t>6.6.2 Occupied bandwidth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spacing w:after="0"/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>Not band specific</w:t>
            </w:r>
            <w:r>
              <w:rPr>
                <w:rFonts w:eastAsia="Times New Roman"/>
                <w:color w:val="000000"/>
                <w:sz w:val="20"/>
                <w:szCs w:val="20"/>
                <w:lang w:eastAsia="fi-FI"/>
              </w:rPr>
              <w:t xml:space="preserve"> --&gt; </w:t>
            </w: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>No specification impact.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90" w:hRule="atLeast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top"/>
          </w:tcPr>
          <w:p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</w:pPr>
            <w:r>
              <w:rPr>
                <w:sz w:val="20"/>
                <w:szCs w:val="20"/>
              </w:rPr>
              <w:t>6.6.3 Adjacent Channel Leakage Power Ratio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</w:pP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>Not band specific</w:t>
            </w:r>
            <w:r>
              <w:rPr>
                <w:rFonts w:eastAsia="Times New Roman"/>
                <w:color w:val="000000"/>
                <w:sz w:val="20"/>
                <w:szCs w:val="20"/>
                <w:lang w:eastAsia="fi-FI"/>
              </w:rPr>
              <w:t xml:space="preserve"> --&gt; </w:t>
            </w: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>No specification impact.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90" w:hRule="atLeast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top"/>
          </w:tcPr>
          <w:p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</w:pPr>
            <w:r>
              <w:rPr>
                <w:sz w:val="20"/>
                <w:szCs w:val="20"/>
              </w:rPr>
              <w:t xml:space="preserve">6.6.4 </w:t>
            </w:r>
            <w:r>
              <w:rPr>
                <w:rFonts w:hint="eastAsia"/>
                <w:sz w:val="20"/>
                <w:szCs w:val="20"/>
              </w:rPr>
              <w:t>Out-of-band emissions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spacing w:after="0"/>
              <w:rPr>
                <w:rFonts w:hint="eastAsia" w:eastAsia="Times New Roman"/>
                <w:color w:val="000000"/>
                <w:sz w:val="20"/>
                <w:szCs w:val="20"/>
                <w:lang w:val="fi-FI" w:eastAsia="fi-FI"/>
              </w:rPr>
            </w:pPr>
            <w:r>
              <w:rPr>
                <w:rFonts w:hint="eastAsia" w:eastAsia="Times New Roman"/>
                <w:color w:val="000000"/>
                <w:sz w:val="20"/>
                <w:szCs w:val="20"/>
                <w:lang w:val="fi-FI" w:eastAsia="fi-FI"/>
              </w:rPr>
              <w:t xml:space="preserve">Band specific --&gt; Specification impact. </w:t>
            </w:r>
          </w:p>
          <w:p>
            <w:pPr>
              <w:spacing w:after="0"/>
              <w:rPr>
                <w:rFonts w:hint="eastAsia" w:eastAsia="Times New Roman"/>
                <w:color w:val="000000"/>
                <w:sz w:val="20"/>
                <w:szCs w:val="20"/>
                <w:lang w:val="fi-FI" w:eastAsia="fi-FI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Consider d</w:t>
            </w: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 xml:space="preserve">efine </w:t>
            </w: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o</w:t>
            </w: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>ut-of-band emissions</w:t>
            </w:r>
            <w:r>
              <w:rPr>
                <w:rFonts w:eastAsia="Times New Roman"/>
                <w:color w:val="000000"/>
                <w:sz w:val="20"/>
                <w:szCs w:val="20"/>
                <w:lang w:eastAsia="fi-FI"/>
              </w:rPr>
              <w:t xml:space="preserve"> requirement similar to</w:t>
            </w: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 xml:space="preserve"> </w:t>
            </w: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band n254, n255, n256</w:t>
            </w: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90" w:hRule="atLeast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top"/>
          </w:tcPr>
          <w:p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</w:pPr>
            <w:r>
              <w:rPr>
                <w:sz w:val="20"/>
                <w:szCs w:val="20"/>
              </w:rPr>
              <w:t>6.6.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5</w:t>
            </w:r>
            <w:r>
              <w:rPr>
                <w:sz w:val="20"/>
                <w:szCs w:val="20"/>
              </w:rPr>
              <w:t xml:space="preserve"> Transmitter spurious emissions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spacing w:after="0"/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sz w:val="20"/>
                <w:szCs w:val="20"/>
              </w:rPr>
              <w:t>No specification impact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90" w:hRule="atLeast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top"/>
          </w:tcPr>
          <w:p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</w:pPr>
            <w:r>
              <w:rPr>
                <w:sz w:val="20"/>
                <w:szCs w:val="20"/>
              </w:rPr>
              <w:t>6.7 Transmitter intermodulation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</w:pPr>
            <w:r>
              <w:rPr>
                <w:sz w:val="20"/>
                <w:szCs w:val="20"/>
              </w:rPr>
              <w:t>No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t applicable to SAN</w:t>
            </w:r>
            <w:r>
              <w:rPr>
                <w:rFonts w:eastAsia="Times New Roman"/>
                <w:color w:val="000000"/>
                <w:sz w:val="20"/>
                <w:szCs w:val="20"/>
                <w:lang w:eastAsia="fi-FI"/>
              </w:rPr>
              <w:t xml:space="preserve"> --&gt; </w:t>
            </w: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>N</w:t>
            </w:r>
            <w:r>
              <w:rPr>
                <w:rFonts w:eastAsia="Times New Roman"/>
                <w:color w:val="000000"/>
                <w:sz w:val="20"/>
                <w:szCs w:val="20"/>
                <w:lang w:eastAsia="fi-FI"/>
              </w:rPr>
              <w:t>o specification impact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90" w:hRule="atLeast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top"/>
          </w:tcPr>
          <w:p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</w:pPr>
            <w:r>
              <w:rPr>
                <w:sz w:val="20"/>
                <w:szCs w:val="20"/>
              </w:rPr>
              <w:t xml:space="preserve">7.2 Reference sensitivity level 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</w:pP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>Not band specific</w:t>
            </w:r>
            <w:r>
              <w:rPr>
                <w:rFonts w:eastAsia="Times New Roman"/>
                <w:color w:val="000000"/>
                <w:sz w:val="20"/>
                <w:szCs w:val="20"/>
                <w:lang w:eastAsia="fi-FI"/>
              </w:rPr>
              <w:t xml:space="preserve"> --&gt; </w:t>
            </w: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>No specification impact.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580" w:hRule="atLeast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top"/>
          </w:tcPr>
          <w:p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</w:pPr>
            <w:r>
              <w:rPr>
                <w:sz w:val="20"/>
                <w:szCs w:val="20"/>
              </w:rPr>
              <w:t>7.3 Dynamic range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</w:pP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>Not band specific</w:t>
            </w:r>
            <w:r>
              <w:rPr>
                <w:rFonts w:eastAsia="Times New Roman"/>
                <w:color w:val="000000"/>
                <w:sz w:val="20"/>
                <w:szCs w:val="20"/>
                <w:lang w:eastAsia="fi-FI"/>
              </w:rPr>
              <w:t xml:space="preserve"> --&gt; </w:t>
            </w: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>No specification impact.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580" w:hRule="atLeast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top"/>
          </w:tcPr>
          <w:p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</w:pPr>
            <w:r>
              <w:rPr>
                <w:sz w:val="20"/>
                <w:szCs w:val="20"/>
              </w:rPr>
              <w:t>7.4.1 Adjacent Channel Selectivity (ACS)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eastAsia="fi-FI"/>
              </w:rPr>
            </w:pP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>Not band specific</w:t>
            </w:r>
            <w:r>
              <w:rPr>
                <w:rFonts w:eastAsia="Times New Roman"/>
                <w:color w:val="000000"/>
                <w:sz w:val="20"/>
                <w:szCs w:val="20"/>
                <w:lang w:eastAsia="fi-FI"/>
              </w:rPr>
              <w:t xml:space="preserve"> --&gt; </w:t>
            </w: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>No specification impact.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580" w:hRule="atLeast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top"/>
          </w:tcPr>
          <w:p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</w:pPr>
            <w:r>
              <w:rPr>
                <w:sz w:val="20"/>
                <w:szCs w:val="20"/>
              </w:rPr>
              <w:t>7.4.2 In-band blocking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top"/>
          </w:tcPr>
          <w:p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eastAsia="fi-FI"/>
              </w:rPr>
            </w:pPr>
            <w:r>
              <w:rPr>
                <w:sz w:val="20"/>
                <w:szCs w:val="20"/>
              </w:rPr>
              <w:t>No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t applicable for SAN</w:t>
            </w:r>
            <w:r>
              <w:rPr>
                <w:rFonts w:eastAsia="Times New Roman"/>
                <w:color w:val="000000"/>
                <w:sz w:val="20"/>
                <w:szCs w:val="20"/>
                <w:lang w:eastAsia="fi-FI"/>
              </w:rPr>
              <w:t xml:space="preserve"> --&gt; </w:t>
            </w: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>N</w:t>
            </w:r>
            <w:r>
              <w:rPr>
                <w:rFonts w:eastAsia="Times New Roman"/>
                <w:color w:val="000000"/>
                <w:sz w:val="20"/>
                <w:szCs w:val="20"/>
                <w:lang w:eastAsia="fi-FI"/>
              </w:rPr>
              <w:t>o specification impact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580" w:hRule="atLeast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top"/>
          </w:tcPr>
          <w:p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</w:pPr>
            <w:r>
              <w:rPr>
                <w:sz w:val="20"/>
                <w:szCs w:val="20"/>
              </w:rPr>
              <w:t xml:space="preserve">7.5 Out-of-band blocking 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top"/>
          </w:tcPr>
          <w:p>
            <w:pPr>
              <w:spacing w:after="0"/>
              <w:rPr>
                <w:rFonts w:eastAsia="Times New Roman"/>
                <w:strike/>
                <w:color w:val="000000"/>
                <w:sz w:val="20"/>
                <w:szCs w:val="20"/>
                <w:lang w:eastAsia="fi-FI"/>
              </w:rPr>
            </w:pP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>Not band specific</w:t>
            </w:r>
            <w:r>
              <w:rPr>
                <w:rFonts w:eastAsia="Times New Roman"/>
                <w:color w:val="000000"/>
                <w:sz w:val="20"/>
                <w:szCs w:val="20"/>
                <w:lang w:eastAsia="fi-FI"/>
              </w:rPr>
              <w:t xml:space="preserve"> --&gt; </w:t>
            </w: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>No specification impact.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580" w:hRule="atLeast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top"/>
          </w:tcPr>
          <w:p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</w:pPr>
            <w:r>
              <w:rPr>
                <w:sz w:val="20"/>
                <w:szCs w:val="20"/>
              </w:rPr>
              <w:t>7.6 Receiver spurious emissions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spacing w:after="0"/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sz w:val="20"/>
                <w:szCs w:val="20"/>
              </w:rPr>
              <w:t>No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t applicable for SAN</w:t>
            </w:r>
            <w:r>
              <w:rPr>
                <w:rFonts w:eastAsia="Times New Roman"/>
                <w:color w:val="000000"/>
                <w:sz w:val="20"/>
                <w:szCs w:val="20"/>
                <w:lang w:eastAsia="fi-FI"/>
              </w:rPr>
              <w:t xml:space="preserve"> --&gt; </w:t>
            </w: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>N</w:t>
            </w:r>
            <w:r>
              <w:rPr>
                <w:rFonts w:eastAsia="Times New Roman"/>
                <w:color w:val="000000"/>
                <w:sz w:val="20"/>
                <w:szCs w:val="20"/>
                <w:lang w:eastAsia="fi-FI"/>
              </w:rPr>
              <w:t>o specification impact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870" w:hRule="atLeast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top"/>
          </w:tcPr>
          <w:p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</w:pPr>
            <w:r>
              <w:rPr>
                <w:sz w:val="20"/>
                <w:szCs w:val="20"/>
              </w:rPr>
              <w:t>7.7 Receiver intermodulation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top"/>
          </w:tcPr>
          <w:p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eastAsia="fi-FI"/>
              </w:rPr>
            </w:pPr>
            <w:r>
              <w:rPr>
                <w:sz w:val="20"/>
                <w:szCs w:val="20"/>
              </w:rPr>
              <w:t>No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t applicable for SAN</w:t>
            </w:r>
            <w:r>
              <w:rPr>
                <w:rFonts w:eastAsia="Times New Roman"/>
                <w:color w:val="000000"/>
                <w:sz w:val="20"/>
                <w:szCs w:val="20"/>
                <w:lang w:eastAsia="fi-FI"/>
              </w:rPr>
              <w:t xml:space="preserve"> --&gt; </w:t>
            </w: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>N</w:t>
            </w:r>
            <w:r>
              <w:rPr>
                <w:rFonts w:eastAsia="Times New Roman"/>
                <w:color w:val="000000"/>
                <w:sz w:val="20"/>
                <w:szCs w:val="20"/>
                <w:lang w:eastAsia="fi-FI"/>
              </w:rPr>
              <w:t>o specification impact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87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top"/>
          </w:tcPr>
          <w:p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</w:pPr>
            <w:r>
              <w:rPr>
                <w:sz w:val="20"/>
                <w:szCs w:val="20"/>
              </w:rPr>
              <w:t>7.8 In-channel selectivity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eastAsia="fi-FI"/>
              </w:rPr>
            </w:pP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>Not band specific</w:t>
            </w:r>
            <w:r>
              <w:rPr>
                <w:rFonts w:eastAsia="Times New Roman"/>
                <w:color w:val="000000"/>
                <w:sz w:val="20"/>
                <w:szCs w:val="20"/>
                <w:lang w:eastAsia="fi-FI"/>
              </w:rPr>
              <w:t xml:space="preserve"> --&gt; </w:t>
            </w: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>No specification impact.</w:t>
            </w:r>
          </w:p>
        </w:tc>
      </w:tr>
    </w:tbl>
    <w:p>
      <w:pPr>
        <w:rPr>
          <w:rFonts w:hint="eastAsia"/>
          <w:b/>
          <w:bCs/>
          <w:i w:val="0"/>
          <w:iCs w:val="0"/>
          <w:sz w:val="20"/>
          <w:szCs w:val="20"/>
          <w:lang w:val="en-US" w:eastAsia="zh-CN"/>
        </w:rPr>
      </w:pPr>
      <w:r>
        <w:rPr>
          <w:rFonts w:hint="eastAsia"/>
          <w:b/>
          <w:bCs/>
          <w:i w:val="0"/>
          <w:iCs w:val="0"/>
          <w:sz w:val="20"/>
          <w:szCs w:val="20"/>
          <w:lang w:val="en-US" w:eastAsia="zh-CN"/>
        </w:rPr>
        <w:t>Proposal 1: To use the proposals in Table 1 for SAN RF requirements for the new NR-NTN bands supporting the Extended L-band (UL 1668-1675MHz, DL 1518-1525MHz) and the combined MSS L-band and Extended L-band ranges (DL 1518-1559 MHz, UL 1626.5-1660.5 MHz and 1668-1675 MHz).</w:t>
      </w:r>
    </w:p>
    <w:p>
      <w:pPr>
        <w:jc w:val="both"/>
        <w:rPr>
          <w:rFonts w:hint="eastAsia" w:cs="Times New Roman"/>
          <w:b/>
          <w:bCs/>
          <w:kern w:val="2"/>
          <w:sz w:val="20"/>
          <w:szCs w:val="20"/>
          <w:lang w:val="en-US" w:eastAsia="zh-CN" w:bidi="ar-SA"/>
        </w:rPr>
      </w:pPr>
    </w:p>
    <w:p>
      <w:pPr>
        <w:keepNext w:val="0"/>
        <w:keepLines w:val="0"/>
        <w:pageBreakBefore w:val="0"/>
        <w:widowControl w:val="0"/>
        <w:pBdr>
          <w:top w:val="single" w:color="auto" w:sz="12" w:space="3"/>
        </w:pBdr>
        <w:kinsoku/>
        <w:wordWrap/>
        <w:topLinePunct w:val="0"/>
        <w:bidi w:val="0"/>
        <w:snapToGrid/>
        <w:spacing w:beforeLines="0" w:after="120" w:afterLines="0"/>
        <w:jc w:val="left"/>
        <w:outlineLvl w:val="0"/>
        <w:rPr>
          <w:b/>
          <w:kern w:val="0"/>
          <w:sz w:val="28"/>
          <w:szCs w:val="28"/>
          <w:highlight w:val="none"/>
        </w:rPr>
      </w:pPr>
      <w:r>
        <w:rPr>
          <w:b/>
          <w:kern w:val="0"/>
          <w:sz w:val="28"/>
          <w:szCs w:val="28"/>
          <w:highlight w:val="none"/>
        </w:rPr>
        <w:t>3 Conclusion</w:t>
      </w:r>
    </w:p>
    <w:p>
      <w:pPr>
        <w:keepNext w:val="0"/>
        <w:keepLines w:val="0"/>
        <w:pageBreakBefore w:val="0"/>
        <w:widowControl w:val="0"/>
        <w:numPr>
          <w:ilvl w:val="-1"/>
          <w:numId w:val="0"/>
        </w:numPr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Lines="-2147483648" w:afterLines="-2147483648" w:line="240" w:lineRule="auto"/>
        <w:jc w:val="left"/>
        <w:textAlignment w:val="auto"/>
        <w:rPr>
          <w:rFonts w:hint="eastAsia"/>
          <w:b/>
          <w:bCs/>
          <w:i w:val="0"/>
          <w:iCs w:val="0"/>
          <w:sz w:val="20"/>
          <w:szCs w:val="20"/>
          <w:lang w:val="en-US" w:eastAsia="zh-CN"/>
        </w:rPr>
      </w:pPr>
      <w:r>
        <w:rPr>
          <w:rFonts w:hint="eastAsia" w:ascii="Times New Roman" w:hAnsi="Times New Roman" w:eastAsia="宋体" w:cs="Times New Roman"/>
          <w:b w:val="0"/>
          <w:bCs w:val="0"/>
          <w:kern w:val="0"/>
          <w:sz w:val="20"/>
          <w:szCs w:val="20"/>
          <w:highlight w:val="none"/>
          <w:lang w:val="en-US" w:eastAsia="zh-CN" w:bidi="ar-SA"/>
        </w:rPr>
        <w:t xml:space="preserve">In this contribution, we share some views on </w:t>
      </w:r>
      <w:r>
        <w:rPr>
          <w:rFonts w:hint="eastAsia" w:cs="Times New Roman"/>
          <w:b w:val="0"/>
          <w:bCs w:val="0"/>
          <w:kern w:val="0"/>
          <w:sz w:val="20"/>
          <w:szCs w:val="20"/>
          <w:highlight w:val="none"/>
          <w:lang w:val="en-US" w:eastAsia="zh-CN" w:bidi="ar-SA"/>
        </w:rPr>
        <w:t>SAN RF requirements</w:t>
      </w:r>
      <w:r>
        <w:rPr>
          <w:rFonts w:hint="eastAsia" w:ascii="Times New Roman" w:hAnsi="Times New Roman" w:eastAsia="宋体" w:cs="Times New Roman"/>
          <w:b w:val="0"/>
          <w:bCs w:val="0"/>
          <w:kern w:val="0"/>
          <w:sz w:val="20"/>
          <w:szCs w:val="20"/>
          <w:highlight w:val="none"/>
          <w:lang w:val="en-US" w:eastAsia="zh-CN" w:bidi="ar-SA"/>
        </w:rPr>
        <w:t xml:space="preserve"> for</w:t>
      </w:r>
      <w:r>
        <w:rPr>
          <w:rFonts w:hint="eastAsia" w:cs="Times New Roman"/>
          <w:b w:val="0"/>
          <w:bCs w:val="0"/>
          <w:kern w:val="0"/>
          <w:sz w:val="20"/>
          <w:szCs w:val="20"/>
          <w:highlight w:val="none"/>
          <w:lang w:val="en-US" w:eastAsia="zh-CN" w:bidi="ar-SA"/>
        </w:rPr>
        <w:t xml:space="preserve"> the</w:t>
      </w:r>
      <w:r>
        <w:rPr>
          <w:rFonts w:hint="eastAsia" w:ascii="Times New Roman" w:hAnsi="Times New Roman" w:eastAsia="宋体" w:cs="Times New Roman"/>
          <w:b w:val="0"/>
          <w:bCs w:val="0"/>
          <w:kern w:val="0"/>
          <w:sz w:val="20"/>
          <w:szCs w:val="20"/>
          <w:highlight w:val="none"/>
          <w:lang w:val="en-US" w:eastAsia="zh-CN" w:bidi="ar-SA"/>
        </w:rPr>
        <w:t xml:space="preserve"> new NR-NTN band</w:t>
      </w:r>
      <w:r>
        <w:rPr>
          <w:rFonts w:hint="eastAsia" w:cs="Times New Roman"/>
          <w:b w:val="0"/>
          <w:bCs w:val="0"/>
          <w:kern w:val="0"/>
          <w:sz w:val="20"/>
          <w:szCs w:val="20"/>
          <w:highlight w:val="none"/>
          <w:lang w:val="en-US" w:eastAsia="zh-CN" w:bidi="ar-SA"/>
        </w:rPr>
        <w:t>s</w:t>
      </w:r>
      <w:r>
        <w:rPr>
          <w:rFonts w:hint="eastAsia" w:ascii="Times New Roman" w:hAnsi="Times New Roman" w:eastAsia="宋体" w:cs="Times New Roman"/>
          <w:b w:val="0"/>
          <w:bCs w:val="0"/>
          <w:kern w:val="0"/>
          <w:sz w:val="20"/>
          <w:szCs w:val="20"/>
          <w:highlight w:val="none"/>
          <w:lang w:val="en-US" w:eastAsia="zh-CN" w:bidi="ar-SA"/>
        </w:rPr>
        <w:t xml:space="preserve"> and the</w:t>
      </w:r>
      <w:r>
        <w:rPr>
          <w:rFonts w:hint="eastAsia" w:cs="Times New Roman"/>
          <w:b w:val="0"/>
          <w:bCs w:val="0"/>
          <w:kern w:val="0"/>
          <w:sz w:val="20"/>
          <w:szCs w:val="20"/>
          <w:highlight w:val="none"/>
          <w:lang w:val="en-US" w:eastAsia="zh-CN" w:bidi="ar-SA"/>
        </w:rPr>
        <w:t xml:space="preserve"> </w:t>
      </w:r>
      <w:r>
        <w:rPr>
          <w:rFonts w:hint="eastAsia" w:ascii="Times New Roman" w:hAnsi="Times New Roman" w:eastAsia="宋体" w:cs="Times New Roman"/>
          <w:b w:val="0"/>
          <w:bCs w:val="0"/>
          <w:kern w:val="0"/>
          <w:sz w:val="20"/>
          <w:szCs w:val="20"/>
          <w:highlight w:val="none"/>
          <w:lang w:val="en-US" w:eastAsia="zh-CN" w:bidi="ar-SA"/>
        </w:rPr>
        <w:t>proposal</w:t>
      </w:r>
      <w:r>
        <w:rPr>
          <w:rFonts w:hint="eastAsia" w:cs="Times New Roman"/>
          <w:b w:val="0"/>
          <w:bCs w:val="0"/>
          <w:kern w:val="0"/>
          <w:sz w:val="20"/>
          <w:szCs w:val="20"/>
          <w:highlight w:val="none"/>
          <w:lang w:val="en-US" w:eastAsia="zh-CN" w:bidi="ar-SA"/>
        </w:rPr>
        <w:t>s are</w:t>
      </w:r>
      <w:r>
        <w:rPr>
          <w:rFonts w:hint="eastAsia" w:ascii="Times New Roman" w:hAnsi="Times New Roman" w:eastAsia="宋体" w:cs="Times New Roman"/>
          <w:b w:val="0"/>
          <w:bCs w:val="0"/>
          <w:kern w:val="0"/>
          <w:sz w:val="20"/>
          <w:szCs w:val="20"/>
          <w:highlight w:val="none"/>
          <w:lang w:val="en-US" w:eastAsia="zh-CN" w:bidi="ar-SA"/>
        </w:rPr>
        <w:t xml:space="preserve"> made as follow</w:t>
      </w:r>
      <w:r>
        <w:rPr>
          <w:rFonts w:hint="eastAsia" w:cs="Times New Roman"/>
          <w:b w:val="0"/>
          <w:bCs w:val="0"/>
          <w:kern w:val="0"/>
          <w:sz w:val="20"/>
          <w:szCs w:val="20"/>
          <w:highlight w:val="none"/>
          <w:lang w:val="en-US" w:eastAsia="zh-CN" w:bidi="ar-SA"/>
        </w:rPr>
        <w:t>s</w:t>
      </w:r>
      <w:r>
        <w:rPr>
          <w:rFonts w:hint="eastAsia" w:ascii="Times New Roman" w:hAnsi="Times New Roman" w:eastAsia="宋体" w:cs="Times New Roman"/>
          <w:b w:val="0"/>
          <w:bCs w:val="0"/>
          <w:kern w:val="0"/>
          <w:sz w:val="20"/>
          <w:szCs w:val="20"/>
          <w:highlight w:val="none"/>
          <w:lang w:val="en-US" w:eastAsia="zh-CN" w:bidi="ar-SA"/>
        </w:rPr>
        <w:t>:</w:t>
      </w:r>
    </w:p>
    <w:p>
      <w:pPr>
        <w:rPr>
          <w:rFonts w:hint="eastAsia"/>
          <w:b/>
          <w:bCs/>
          <w:i w:val="0"/>
          <w:iCs w:val="0"/>
          <w:sz w:val="20"/>
          <w:szCs w:val="20"/>
          <w:lang w:val="en-US" w:eastAsia="zh-CN"/>
        </w:rPr>
      </w:pPr>
      <w:r>
        <w:rPr>
          <w:rFonts w:hint="eastAsia"/>
          <w:b/>
          <w:bCs/>
          <w:i w:val="0"/>
          <w:iCs w:val="0"/>
          <w:sz w:val="20"/>
          <w:szCs w:val="20"/>
          <w:lang w:val="en-US" w:eastAsia="zh-CN"/>
        </w:rPr>
        <w:t>Proposal 1: To use the proposals in Table 1 for SAN RF requirements for the new NR-NTN bands supporting the Extended L-band (UL 1668-1675MHz, DL 1518-1525MHz) and the combined MSS L-band and Extended L-band ranges (DL 1518-1559 MHz, UL 1626.5-1660.5 MHz and 1668-1675 MHz).</w:t>
      </w:r>
    </w:p>
    <w:p>
      <w:pPr>
        <w:jc w:val="center"/>
        <w:rPr>
          <w:rFonts w:hint="default" w:cs="Times New Roman"/>
          <w:b/>
          <w:bCs/>
          <w:kern w:val="2"/>
          <w:sz w:val="20"/>
          <w:szCs w:val="20"/>
          <w:lang w:val="en-US" w:eastAsia="zh-CN" w:bidi="ar-SA"/>
        </w:rPr>
      </w:pPr>
      <w:r>
        <w:rPr>
          <w:rFonts w:hint="eastAsia" w:cs="Times New Roman"/>
          <w:b/>
          <w:bCs/>
          <w:kern w:val="2"/>
          <w:sz w:val="20"/>
          <w:szCs w:val="20"/>
          <w:lang w:val="en-US" w:eastAsia="zh-CN" w:bidi="ar-SA"/>
        </w:rPr>
        <w:t>Table 1: SAN RF requirements for the new NR-NTN bands</w:t>
      </w:r>
    </w:p>
    <w:tbl>
      <w:tblPr>
        <w:tblStyle w:val="23"/>
        <w:tblW w:w="0" w:type="auto"/>
        <w:tblInd w:w="0" w:type="dxa"/>
        <w:tblLayout w:type="autofit"/>
        <w:tblCellMar>
          <w:top w:w="0" w:type="dxa"/>
          <w:left w:w="70" w:type="dxa"/>
          <w:bottom w:w="0" w:type="dxa"/>
          <w:right w:w="70" w:type="dxa"/>
        </w:tblCellMar>
      </w:tblPr>
      <w:tblGrid>
        <w:gridCol w:w="3499"/>
        <w:gridCol w:w="6301"/>
      </w:tblGrid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1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top"/>
          </w:tcPr>
          <w:p>
            <w:pPr>
              <w:spacing w:after="0"/>
              <w:rPr>
                <w:rFonts w:ascii="Calibri" w:hAnsi="Calibri" w:eastAsia="Times New Roman" w:cs="Calibri"/>
                <w:b/>
                <w:bCs/>
                <w:color w:val="000000"/>
                <w:sz w:val="20"/>
                <w:szCs w:val="20"/>
                <w:lang w:eastAsia="fi-FI"/>
              </w:rPr>
            </w:pPr>
            <w:r>
              <w:rPr>
                <w:b/>
                <w:bCs/>
                <w:sz w:val="20"/>
                <w:szCs w:val="20"/>
              </w:rPr>
              <w:t>NR BS RF Tx/Rx requirement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top"/>
          </w:tcPr>
          <w:p>
            <w:pPr>
              <w:spacing w:after="0"/>
              <w:rPr>
                <w:rFonts w:hint="eastAsia" w:ascii="Calibri" w:hAnsi="Calibri" w:eastAsia="宋体" w:cs="Calibri"/>
                <w:b/>
                <w:bCs/>
                <w:color w:val="000000"/>
                <w:sz w:val="20"/>
                <w:szCs w:val="20"/>
                <w:lang w:val="en-US" w:eastAsia="zh-CN"/>
              </w:rPr>
            </w:pPr>
            <w:r>
              <w:rPr>
                <w:b/>
                <w:bCs/>
                <w:sz w:val="20"/>
                <w:szCs w:val="20"/>
              </w:rPr>
              <w:t>Proposal for</w:t>
            </w:r>
            <w:r>
              <w:rPr>
                <w:rFonts w:hint="eastAsia"/>
                <w:b/>
                <w:bCs/>
                <w:sz w:val="20"/>
                <w:szCs w:val="20"/>
              </w:rPr>
              <w:t xml:space="preserve"> the new NR-NTN band</w:t>
            </w:r>
            <w:r>
              <w:rPr>
                <w:rFonts w:hint="eastAsia"/>
                <w:b/>
                <w:bCs/>
                <w:sz w:val="20"/>
                <w:szCs w:val="20"/>
                <w:lang w:val="en-US" w:eastAsia="zh-CN"/>
              </w:rPr>
              <w:t>s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10" w:hRule="atLeast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top"/>
          </w:tcPr>
          <w:p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</w:pPr>
            <w:r>
              <w:rPr>
                <w:sz w:val="20"/>
                <w:szCs w:val="20"/>
              </w:rPr>
              <w:t xml:space="preserve">6.2 </w:t>
            </w:r>
            <w:r>
              <w:rPr>
                <w:rFonts w:hint="eastAsia"/>
                <w:sz w:val="20"/>
                <w:szCs w:val="20"/>
              </w:rPr>
              <w:t xml:space="preserve">Satellite Access Node output power 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spacing w:after="0"/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>Not band specific</w:t>
            </w:r>
            <w:r>
              <w:rPr>
                <w:rFonts w:eastAsia="Times New Roman"/>
                <w:color w:val="000000"/>
                <w:sz w:val="20"/>
                <w:szCs w:val="20"/>
                <w:lang w:eastAsia="fi-FI"/>
              </w:rPr>
              <w:t xml:space="preserve"> --&gt; </w:t>
            </w: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>No specification impact.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580" w:hRule="atLeast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top"/>
          </w:tcPr>
          <w:p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</w:pPr>
            <w:r>
              <w:rPr>
                <w:sz w:val="20"/>
                <w:szCs w:val="20"/>
              </w:rPr>
              <w:t>6.3.2 RE power control dynamic range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top"/>
          </w:tcPr>
          <w:p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eastAsia="fi-FI"/>
              </w:rPr>
            </w:pP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>Not band specific</w:t>
            </w:r>
            <w:r>
              <w:rPr>
                <w:rFonts w:eastAsia="Times New Roman"/>
                <w:color w:val="000000"/>
                <w:sz w:val="20"/>
                <w:szCs w:val="20"/>
                <w:lang w:eastAsia="fi-FI"/>
              </w:rPr>
              <w:t xml:space="preserve"> --&gt; </w:t>
            </w: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>No specification impact.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870" w:hRule="atLeast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top"/>
          </w:tcPr>
          <w:p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</w:pPr>
            <w:r>
              <w:rPr>
                <w:sz w:val="20"/>
                <w:szCs w:val="20"/>
              </w:rPr>
              <w:t>6.3.3 Total power dynamic range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spacing w:after="160" w:line="259" w:lineRule="auto"/>
              <w:rPr>
                <w:rFonts w:eastAsia="Times New Roman"/>
                <w:strike/>
                <w:color w:val="000000"/>
                <w:sz w:val="20"/>
                <w:szCs w:val="20"/>
              </w:rPr>
            </w:pP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>Not band specific</w:t>
            </w:r>
            <w:r>
              <w:rPr>
                <w:rFonts w:eastAsia="Times New Roman"/>
                <w:color w:val="000000"/>
                <w:sz w:val="20"/>
                <w:szCs w:val="20"/>
                <w:lang w:eastAsia="fi-FI"/>
              </w:rPr>
              <w:t xml:space="preserve"> --&gt; </w:t>
            </w: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>No specification impact.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870" w:hRule="atLeast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top"/>
          </w:tcPr>
          <w:p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</w:pPr>
            <w:r>
              <w:rPr>
                <w:sz w:val="20"/>
                <w:szCs w:val="20"/>
              </w:rPr>
              <w:t>6.4 Transmit ON/OFF power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spacing w:after="0"/>
              <w:rPr>
                <w:rFonts w:hint="default" w:eastAsia="宋体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sz w:val="20"/>
                <w:szCs w:val="20"/>
              </w:rPr>
              <w:t>No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t applicable to SAN</w:t>
            </w:r>
            <w:r>
              <w:rPr>
                <w:rFonts w:eastAsia="Times New Roman"/>
                <w:color w:val="000000"/>
                <w:sz w:val="20"/>
                <w:szCs w:val="20"/>
                <w:lang w:eastAsia="fi-FI"/>
              </w:rPr>
              <w:t xml:space="preserve"> --&gt; </w:t>
            </w: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>N</w:t>
            </w:r>
            <w:r>
              <w:rPr>
                <w:rFonts w:eastAsia="Times New Roman"/>
                <w:color w:val="000000"/>
                <w:sz w:val="20"/>
                <w:szCs w:val="20"/>
                <w:lang w:eastAsia="fi-FI"/>
              </w:rPr>
              <w:t>o specification impact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580" w:hRule="atLeast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top"/>
          </w:tcPr>
          <w:p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</w:pPr>
            <w:r>
              <w:rPr>
                <w:sz w:val="20"/>
                <w:szCs w:val="20"/>
              </w:rPr>
              <w:t>6.5 Transmitted signal quality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spacing w:after="0"/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>Not band specific</w:t>
            </w:r>
            <w:r>
              <w:rPr>
                <w:rFonts w:eastAsia="Times New Roman"/>
                <w:color w:val="000000"/>
                <w:sz w:val="20"/>
                <w:szCs w:val="20"/>
                <w:lang w:eastAsia="fi-FI"/>
              </w:rPr>
              <w:t xml:space="preserve"> --&gt; </w:t>
            </w: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>No specification impact.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90" w:hRule="atLeast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top"/>
          </w:tcPr>
          <w:p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eastAsia="fi-FI"/>
              </w:rPr>
            </w:pPr>
            <w:r>
              <w:rPr>
                <w:sz w:val="20"/>
                <w:szCs w:val="20"/>
              </w:rPr>
              <w:t>6.6.2 Occupied bandwidth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spacing w:after="0"/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>Not band specific</w:t>
            </w:r>
            <w:r>
              <w:rPr>
                <w:rFonts w:eastAsia="Times New Roman"/>
                <w:color w:val="000000"/>
                <w:sz w:val="20"/>
                <w:szCs w:val="20"/>
                <w:lang w:eastAsia="fi-FI"/>
              </w:rPr>
              <w:t xml:space="preserve"> --&gt; </w:t>
            </w: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>No specification impact.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90" w:hRule="atLeast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top"/>
          </w:tcPr>
          <w:p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</w:pPr>
            <w:r>
              <w:rPr>
                <w:sz w:val="20"/>
                <w:szCs w:val="20"/>
              </w:rPr>
              <w:t>6.6.3 Adjacent Channel Leakage Power Ratio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</w:pP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>Not band specific</w:t>
            </w:r>
            <w:r>
              <w:rPr>
                <w:rFonts w:eastAsia="Times New Roman"/>
                <w:color w:val="000000"/>
                <w:sz w:val="20"/>
                <w:szCs w:val="20"/>
                <w:lang w:eastAsia="fi-FI"/>
              </w:rPr>
              <w:t xml:space="preserve"> --&gt; </w:t>
            </w: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>No specification impact.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90" w:hRule="atLeast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top"/>
          </w:tcPr>
          <w:p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</w:pPr>
            <w:r>
              <w:rPr>
                <w:sz w:val="20"/>
                <w:szCs w:val="20"/>
              </w:rPr>
              <w:t xml:space="preserve">6.6.4 </w:t>
            </w:r>
            <w:r>
              <w:rPr>
                <w:rFonts w:hint="eastAsia"/>
                <w:sz w:val="20"/>
                <w:szCs w:val="20"/>
              </w:rPr>
              <w:t>Out-of-band emissions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spacing w:after="0"/>
              <w:rPr>
                <w:rFonts w:hint="eastAsia" w:eastAsia="Times New Roman"/>
                <w:color w:val="000000"/>
                <w:sz w:val="20"/>
                <w:szCs w:val="20"/>
                <w:lang w:val="fi-FI" w:eastAsia="fi-FI"/>
              </w:rPr>
            </w:pPr>
            <w:r>
              <w:rPr>
                <w:rFonts w:hint="eastAsia" w:eastAsia="Times New Roman"/>
                <w:color w:val="000000"/>
                <w:sz w:val="20"/>
                <w:szCs w:val="20"/>
                <w:lang w:val="fi-FI" w:eastAsia="fi-FI"/>
              </w:rPr>
              <w:t xml:space="preserve">Band specific --&gt; Specification impact. </w:t>
            </w:r>
          </w:p>
          <w:p>
            <w:pPr>
              <w:spacing w:after="0"/>
              <w:rPr>
                <w:rFonts w:hint="eastAsia" w:eastAsia="Times New Roman"/>
                <w:color w:val="000000"/>
                <w:sz w:val="20"/>
                <w:szCs w:val="20"/>
                <w:lang w:val="fi-FI" w:eastAsia="fi-FI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Consider d</w:t>
            </w: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 xml:space="preserve">efine </w:t>
            </w: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o</w:t>
            </w: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>ut-of-band emissions</w:t>
            </w:r>
            <w:r>
              <w:rPr>
                <w:rFonts w:eastAsia="Times New Roman"/>
                <w:color w:val="000000"/>
                <w:sz w:val="20"/>
                <w:szCs w:val="20"/>
                <w:lang w:eastAsia="fi-FI"/>
              </w:rPr>
              <w:t xml:space="preserve"> requirement similar to</w:t>
            </w: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 xml:space="preserve"> </w:t>
            </w: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band n254, n255, n256</w:t>
            </w: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90" w:hRule="atLeast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top"/>
          </w:tcPr>
          <w:p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</w:pPr>
            <w:r>
              <w:rPr>
                <w:sz w:val="20"/>
                <w:szCs w:val="20"/>
              </w:rPr>
              <w:t>6.6.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5</w:t>
            </w:r>
            <w:r>
              <w:rPr>
                <w:sz w:val="20"/>
                <w:szCs w:val="20"/>
              </w:rPr>
              <w:t xml:space="preserve"> Transmitter spurious emissions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spacing w:after="0"/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sz w:val="20"/>
                <w:szCs w:val="20"/>
              </w:rPr>
              <w:t>No specification impact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90" w:hRule="atLeast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top"/>
          </w:tcPr>
          <w:p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</w:pPr>
            <w:r>
              <w:rPr>
                <w:sz w:val="20"/>
                <w:szCs w:val="20"/>
              </w:rPr>
              <w:t>6.7 Transmitter intermodulation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</w:pPr>
            <w:r>
              <w:rPr>
                <w:sz w:val="20"/>
                <w:szCs w:val="20"/>
              </w:rPr>
              <w:t>No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t applicable to SAN</w:t>
            </w:r>
            <w:r>
              <w:rPr>
                <w:rFonts w:eastAsia="Times New Roman"/>
                <w:color w:val="000000"/>
                <w:sz w:val="20"/>
                <w:szCs w:val="20"/>
                <w:lang w:eastAsia="fi-FI"/>
              </w:rPr>
              <w:t xml:space="preserve"> --&gt; </w:t>
            </w: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>N</w:t>
            </w:r>
            <w:r>
              <w:rPr>
                <w:rFonts w:eastAsia="Times New Roman"/>
                <w:color w:val="000000"/>
                <w:sz w:val="20"/>
                <w:szCs w:val="20"/>
                <w:lang w:eastAsia="fi-FI"/>
              </w:rPr>
              <w:t>o specification impact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90" w:hRule="atLeast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top"/>
          </w:tcPr>
          <w:p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</w:pPr>
            <w:r>
              <w:rPr>
                <w:sz w:val="20"/>
                <w:szCs w:val="20"/>
              </w:rPr>
              <w:t xml:space="preserve">7.2 Reference sensitivity level 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</w:pP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>Not band specific</w:t>
            </w:r>
            <w:r>
              <w:rPr>
                <w:rFonts w:eastAsia="Times New Roman"/>
                <w:color w:val="000000"/>
                <w:sz w:val="20"/>
                <w:szCs w:val="20"/>
                <w:lang w:eastAsia="fi-FI"/>
              </w:rPr>
              <w:t xml:space="preserve"> --&gt; </w:t>
            </w: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>No specification impact.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580" w:hRule="atLeast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top"/>
          </w:tcPr>
          <w:p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</w:pPr>
            <w:r>
              <w:rPr>
                <w:sz w:val="20"/>
                <w:szCs w:val="20"/>
              </w:rPr>
              <w:t>7.3 Dynamic range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</w:pP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>Not band specific</w:t>
            </w:r>
            <w:r>
              <w:rPr>
                <w:rFonts w:eastAsia="Times New Roman"/>
                <w:color w:val="000000"/>
                <w:sz w:val="20"/>
                <w:szCs w:val="20"/>
                <w:lang w:eastAsia="fi-FI"/>
              </w:rPr>
              <w:t xml:space="preserve"> --&gt; </w:t>
            </w: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>No specification impact.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580" w:hRule="atLeast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top"/>
          </w:tcPr>
          <w:p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</w:pPr>
            <w:r>
              <w:rPr>
                <w:sz w:val="20"/>
                <w:szCs w:val="20"/>
              </w:rPr>
              <w:t>7.4.1 Adjacent Channel Selectivity (ACS)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eastAsia="fi-FI"/>
              </w:rPr>
            </w:pP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>Not band specific</w:t>
            </w:r>
            <w:r>
              <w:rPr>
                <w:rFonts w:eastAsia="Times New Roman"/>
                <w:color w:val="000000"/>
                <w:sz w:val="20"/>
                <w:szCs w:val="20"/>
                <w:lang w:eastAsia="fi-FI"/>
              </w:rPr>
              <w:t xml:space="preserve"> --&gt; </w:t>
            </w: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>No specification impact.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580" w:hRule="atLeast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top"/>
          </w:tcPr>
          <w:p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</w:pPr>
            <w:r>
              <w:rPr>
                <w:sz w:val="20"/>
                <w:szCs w:val="20"/>
              </w:rPr>
              <w:t>7.4.2 In-band blocking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top"/>
          </w:tcPr>
          <w:p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eastAsia="fi-FI"/>
              </w:rPr>
            </w:pPr>
            <w:r>
              <w:rPr>
                <w:sz w:val="20"/>
                <w:szCs w:val="20"/>
              </w:rPr>
              <w:t>No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t applicable for SAN</w:t>
            </w:r>
            <w:r>
              <w:rPr>
                <w:rFonts w:eastAsia="Times New Roman"/>
                <w:color w:val="000000"/>
                <w:sz w:val="20"/>
                <w:szCs w:val="20"/>
                <w:lang w:eastAsia="fi-FI"/>
              </w:rPr>
              <w:t xml:space="preserve"> --&gt; </w:t>
            </w: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>N</w:t>
            </w:r>
            <w:r>
              <w:rPr>
                <w:rFonts w:eastAsia="Times New Roman"/>
                <w:color w:val="000000"/>
                <w:sz w:val="20"/>
                <w:szCs w:val="20"/>
                <w:lang w:eastAsia="fi-FI"/>
              </w:rPr>
              <w:t>o specification impact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580" w:hRule="atLeast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top"/>
          </w:tcPr>
          <w:p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</w:pPr>
            <w:r>
              <w:rPr>
                <w:sz w:val="20"/>
                <w:szCs w:val="20"/>
              </w:rPr>
              <w:t xml:space="preserve">7.5 Out-of-band blocking 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top"/>
          </w:tcPr>
          <w:p>
            <w:pPr>
              <w:spacing w:after="0"/>
              <w:rPr>
                <w:rFonts w:eastAsia="Times New Roman"/>
                <w:strike/>
                <w:color w:val="000000"/>
                <w:sz w:val="20"/>
                <w:szCs w:val="20"/>
                <w:lang w:eastAsia="fi-FI"/>
              </w:rPr>
            </w:pP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>Not band specific</w:t>
            </w:r>
            <w:r>
              <w:rPr>
                <w:rFonts w:eastAsia="Times New Roman"/>
                <w:color w:val="000000"/>
                <w:sz w:val="20"/>
                <w:szCs w:val="20"/>
                <w:lang w:eastAsia="fi-FI"/>
              </w:rPr>
              <w:t xml:space="preserve"> --&gt; </w:t>
            </w: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>No specification impact.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580" w:hRule="atLeast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top"/>
          </w:tcPr>
          <w:p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</w:pPr>
            <w:r>
              <w:rPr>
                <w:sz w:val="20"/>
                <w:szCs w:val="20"/>
              </w:rPr>
              <w:t>7.6 Receiver spurious emissions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spacing w:after="0"/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sz w:val="20"/>
                <w:szCs w:val="20"/>
              </w:rPr>
              <w:t>No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t applicable for SAN</w:t>
            </w:r>
            <w:r>
              <w:rPr>
                <w:rFonts w:eastAsia="Times New Roman"/>
                <w:color w:val="000000"/>
                <w:sz w:val="20"/>
                <w:szCs w:val="20"/>
                <w:lang w:eastAsia="fi-FI"/>
              </w:rPr>
              <w:t xml:space="preserve"> --&gt; </w:t>
            </w: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>N</w:t>
            </w:r>
            <w:r>
              <w:rPr>
                <w:rFonts w:eastAsia="Times New Roman"/>
                <w:color w:val="000000"/>
                <w:sz w:val="20"/>
                <w:szCs w:val="20"/>
                <w:lang w:eastAsia="fi-FI"/>
              </w:rPr>
              <w:t>o specification impact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870" w:hRule="atLeast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top"/>
          </w:tcPr>
          <w:p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</w:pPr>
            <w:r>
              <w:rPr>
                <w:sz w:val="20"/>
                <w:szCs w:val="20"/>
              </w:rPr>
              <w:t>7.7 Receiver intermodulation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top"/>
          </w:tcPr>
          <w:p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eastAsia="fi-FI"/>
              </w:rPr>
            </w:pPr>
            <w:r>
              <w:rPr>
                <w:sz w:val="20"/>
                <w:szCs w:val="20"/>
              </w:rPr>
              <w:t>No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t applicable for SAN</w:t>
            </w:r>
            <w:r>
              <w:rPr>
                <w:rFonts w:eastAsia="Times New Roman"/>
                <w:color w:val="000000"/>
                <w:sz w:val="20"/>
                <w:szCs w:val="20"/>
                <w:lang w:eastAsia="fi-FI"/>
              </w:rPr>
              <w:t xml:space="preserve"> --&gt; </w:t>
            </w: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>N</w:t>
            </w:r>
            <w:r>
              <w:rPr>
                <w:rFonts w:eastAsia="Times New Roman"/>
                <w:color w:val="000000"/>
                <w:sz w:val="20"/>
                <w:szCs w:val="20"/>
                <w:lang w:eastAsia="fi-FI"/>
              </w:rPr>
              <w:t>o specification impact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87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top"/>
          </w:tcPr>
          <w:p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</w:pPr>
            <w:r>
              <w:rPr>
                <w:sz w:val="20"/>
                <w:szCs w:val="20"/>
              </w:rPr>
              <w:t>7.8 In-channel selectivity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eastAsia="fi-FI"/>
              </w:rPr>
            </w:pP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>Not band specific</w:t>
            </w:r>
            <w:r>
              <w:rPr>
                <w:rFonts w:eastAsia="Times New Roman"/>
                <w:color w:val="000000"/>
                <w:sz w:val="20"/>
                <w:szCs w:val="20"/>
                <w:lang w:eastAsia="fi-FI"/>
              </w:rPr>
              <w:t xml:space="preserve"> --&gt; </w:t>
            </w: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>No specification impact.</w:t>
            </w:r>
          </w:p>
        </w:tc>
      </w:tr>
    </w:tbl>
    <w:p>
      <w:pPr>
        <w:keepNext w:val="0"/>
        <w:keepLines w:val="0"/>
        <w:pageBreakBefore w:val="0"/>
        <w:widowControl w:val="0"/>
        <w:numPr>
          <w:ilvl w:val="-1"/>
          <w:numId w:val="0"/>
        </w:numPr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Lines="-2147483648" w:afterLines="-2147483648" w:line="240" w:lineRule="auto"/>
        <w:jc w:val="left"/>
        <w:textAlignment w:val="auto"/>
        <w:rPr>
          <w:rFonts w:hint="eastAsia" w:ascii="Times New Roman" w:hAnsi="Times New Roman" w:eastAsia="宋体" w:cs="Times New Roman"/>
          <w:b w:val="0"/>
          <w:bCs w:val="0"/>
          <w:kern w:val="0"/>
          <w:sz w:val="20"/>
          <w:szCs w:val="20"/>
          <w:highlight w:val="none"/>
          <w:lang w:val="en-US" w:eastAsia="zh-CN" w:bidi="ar-SA"/>
        </w:rPr>
      </w:pPr>
    </w:p>
    <w:p>
      <w:pPr>
        <w:keepNext w:val="0"/>
        <w:keepLines w:val="0"/>
        <w:pageBreakBefore w:val="0"/>
        <w:widowControl w:val="0"/>
        <w:numPr>
          <w:ilvl w:val="-1"/>
          <w:numId w:val="0"/>
        </w:numPr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Lines="-2147483648" w:afterLines="-2147483648" w:line="240" w:lineRule="auto"/>
        <w:jc w:val="left"/>
        <w:textAlignment w:val="auto"/>
        <w:rPr>
          <w:rFonts w:hint="eastAsia" w:ascii="Times New Roman" w:hAnsi="Times New Roman" w:eastAsia="宋体" w:cs="Times New Roman"/>
          <w:b w:val="0"/>
          <w:bCs w:val="0"/>
          <w:kern w:val="0"/>
          <w:sz w:val="20"/>
          <w:szCs w:val="20"/>
          <w:highlight w:val="none"/>
          <w:lang w:val="en-US" w:eastAsia="zh-CN" w:bidi="ar-SA"/>
        </w:rPr>
      </w:pPr>
    </w:p>
    <w:p>
      <w:pPr>
        <w:keepNext w:val="0"/>
        <w:keepLines w:val="0"/>
        <w:pageBreakBefore w:val="0"/>
        <w:widowControl w:val="0"/>
        <w:pBdr>
          <w:top w:val="single" w:color="auto" w:sz="12" w:space="3"/>
        </w:pBdr>
        <w:kinsoku/>
        <w:wordWrap/>
        <w:topLinePunct w:val="0"/>
        <w:bidi w:val="0"/>
        <w:snapToGrid/>
        <w:spacing w:beforeLines="0" w:after="120" w:afterLines="0"/>
        <w:jc w:val="left"/>
        <w:outlineLvl w:val="0"/>
        <w:rPr>
          <w:b/>
          <w:kern w:val="0"/>
          <w:sz w:val="28"/>
          <w:szCs w:val="28"/>
          <w:highlight w:val="none"/>
        </w:rPr>
      </w:pPr>
      <w:r>
        <w:rPr>
          <w:b/>
          <w:kern w:val="0"/>
          <w:sz w:val="28"/>
          <w:szCs w:val="28"/>
          <w:highlight w:val="none"/>
        </w:rPr>
        <w:t>4</w:t>
      </w:r>
      <w:r>
        <w:rPr>
          <w:rFonts w:hint="eastAsia"/>
          <w:b/>
          <w:kern w:val="0"/>
          <w:sz w:val="28"/>
          <w:szCs w:val="28"/>
          <w:highlight w:val="none"/>
          <w:lang w:val="en-US" w:eastAsia="zh-CN"/>
        </w:rPr>
        <w:t xml:space="preserve"> </w:t>
      </w:r>
      <w:r>
        <w:rPr>
          <w:b/>
          <w:kern w:val="0"/>
          <w:sz w:val="28"/>
          <w:szCs w:val="28"/>
          <w:highlight w:val="none"/>
        </w:rPr>
        <w:t>Reference</w:t>
      </w:r>
    </w:p>
    <w:p>
      <w:pPr>
        <w:keepNext/>
        <w:keepLines/>
        <w:pageBreakBefore w:val="0"/>
        <w:widowControl/>
        <w:numPr>
          <w:ilvl w:val="0"/>
          <w:numId w:val="9"/>
        </w:numPr>
        <w:tabs>
          <w:tab w:val="left" w:pos="90"/>
          <w:tab w:val="left" w:pos="1868"/>
          <w:tab w:val="right" w:pos="1064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53" w:beforeLines="0" w:afterLines="0" w:line="260" w:lineRule="auto"/>
        <w:jc w:val="left"/>
        <w:textAlignment w:val="auto"/>
        <w:rPr>
          <w:rFonts w:hint="default"/>
          <w:color w:val="auto"/>
          <w:lang w:val="en-US" w:eastAsia="zh-CN"/>
        </w:rPr>
      </w:pPr>
      <w:r>
        <w:rPr>
          <w:rFonts w:hint="eastAsia"/>
          <w:sz w:val="20"/>
          <w:szCs w:val="20"/>
          <w:lang w:val="en-US" w:eastAsia="zh-CN"/>
        </w:rPr>
        <w:t>RP-241689, New WID proposal: Introduction of new NR NTN bands to support the Extended L-band (UL 1668-1675MHz, DL 1518-1525MHz) and the combined MSS L-band and Extended L-band ranges (DL 1518-1559 MHz, UL 1626.5-1660.5 MHz and 1668-1675 MHz) , Inmarsat et al.</w:t>
      </w:r>
    </w:p>
    <w:p>
      <w:pPr>
        <w:keepNext/>
        <w:keepLines/>
        <w:pageBreakBefore w:val="0"/>
        <w:widowControl/>
        <w:numPr>
          <w:ilvl w:val="0"/>
          <w:numId w:val="0"/>
        </w:numPr>
        <w:tabs>
          <w:tab w:val="left" w:pos="90"/>
          <w:tab w:val="left" w:pos="1868"/>
          <w:tab w:val="right" w:pos="1064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53" w:beforeLines="0" w:afterLines="0" w:line="260" w:lineRule="auto"/>
        <w:jc w:val="left"/>
        <w:textAlignment w:val="auto"/>
        <w:rPr>
          <w:rFonts w:hint="default" w:ascii="Times New Roman" w:hAnsi="Times New Roman" w:eastAsia="宋体" w:cs="Times New Roman"/>
          <w:b w:val="0"/>
          <w:bCs w:val="0"/>
          <w:color w:val="auto"/>
          <w:sz w:val="20"/>
          <w:szCs w:val="20"/>
          <w:highlight w:val="none"/>
          <w:lang w:val="en-US" w:eastAsia="zh-CN"/>
        </w:rPr>
      </w:pPr>
    </w:p>
    <w:p>
      <w:pPr>
        <w:keepNext/>
        <w:keepLines/>
        <w:pageBreakBefore w:val="0"/>
        <w:widowControl/>
        <w:numPr>
          <w:ilvl w:val="-1"/>
          <w:numId w:val="0"/>
        </w:numPr>
        <w:tabs>
          <w:tab w:val="left" w:pos="90"/>
          <w:tab w:val="left" w:pos="1868"/>
          <w:tab w:val="right" w:pos="1064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53" w:beforeLines="0" w:afterLines="0" w:line="260" w:lineRule="auto"/>
        <w:jc w:val="left"/>
        <w:textAlignment w:val="auto"/>
        <w:rPr>
          <w:rFonts w:hint="default" w:ascii="Times New Roman" w:hAnsi="Times New Roman" w:eastAsia="宋体" w:cs="Times New Roman"/>
          <w:b w:val="0"/>
          <w:bCs w:val="0"/>
          <w:color w:val="auto"/>
          <w:sz w:val="20"/>
          <w:szCs w:val="20"/>
          <w:highlight w:val="none"/>
          <w:lang w:val="en-US" w:eastAsia="zh-CN"/>
        </w:rPr>
      </w:pPr>
    </w:p>
    <w:p>
      <w:pPr>
        <w:keepNext w:val="0"/>
        <w:keepLines w:val="0"/>
        <w:pageBreakBefore w:val="0"/>
        <w:widowControl/>
        <w:numPr>
          <w:ilvl w:val="-1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-2147483648" w:afterLines="-2147483648" w:line="240" w:lineRule="auto"/>
        <w:jc w:val="center"/>
        <w:textAlignment w:val="auto"/>
        <w:rPr>
          <w:rFonts w:hint="default"/>
          <w:b/>
          <w:bCs/>
          <w:sz w:val="20"/>
          <w:szCs w:val="18"/>
          <w:lang w:val="en-US" w:eastAsia="zh-CN"/>
        </w:rPr>
      </w:pP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2240" w:h="15840"/>
      <w:pgMar w:top="1440" w:right="1200" w:bottom="1440" w:left="1380" w:header="720" w:footer="720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imesNewRomanPS-ItalicM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6485056"/>
    </w:sdtPr>
    <w:sdtContent>
      <w:p>
        <w:pPr>
          <w:pStyle w:val="16"/>
          <w:spacing w:before="120" w:after="120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>1</w:t>
        </w:r>
        <w:r>
          <w:fldChar w:fldCharType="end"/>
        </w:r>
      </w:p>
    </w:sdtContent>
  </w:sdt>
  <w:p>
    <w:pPr>
      <w:pStyle w:val="16"/>
      <w:spacing w:before="120" w:after="12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6"/>
      <w:spacing w:before="120" w:after="12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6"/>
      <w:spacing w:before="120" w:after="12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7"/>
      <w:spacing w:before="120" w:after="12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7"/>
      <w:spacing w:before="120" w:after="12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7"/>
      <w:spacing w:before="120" w:after="12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14666EE"/>
    <w:multiLevelType w:val="singleLevel"/>
    <w:tmpl w:val="A14666EE"/>
    <w:lvl w:ilvl="0" w:tentative="0">
      <w:start w:val="1"/>
      <w:numFmt w:val="lowerRoman"/>
      <w:pStyle w:val="46"/>
      <w:lvlText w:val="%1"/>
      <w:lvlJc w:val="left"/>
      <w:pPr>
        <w:tabs>
          <w:tab w:val="left" w:pos="807"/>
        </w:tabs>
        <w:ind w:left="420" w:firstLine="0"/>
      </w:pPr>
      <w:rPr>
        <w:rFonts w:hint="default" w:ascii="Times New Roman" w:hAnsi="Times New Roman" w:eastAsia="宋体" w:cs="Times New Roman"/>
        <w:i/>
        <w:iCs/>
      </w:rPr>
    </w:lvl>
  </w:abstractNum>
  <w:abstractNum w:abstractNumId="1">
    <w:nsid w:val="CE44A3D1"/>
    <w:multiLevelType w:val="singleLevel"/>
    <w:tmpl w:val="CE44A3D1"/>
    <w:lvl w:ilvl="0" w:tentative="0">
      <w:start w:val="1"/>
      <w:numFmt w:val="bullet"/>
      <w:pStyle w:val="35"/>
      <w:lvlText w:val="•"/>
      <w:lvlJc w:val="left"/>
      <w:pPr>
        <w:tabs>
          <w:tab w:val="left" w:pos="807"/>
        </w:tabs>
        <w:ind w:left="420" w:firstLine="0"/>
      </w:pPr>
      <w:rPr>
        <w:rFonts w:hint="default" w:ascii="Arial" w:hAnsi="Arial" w:cs="Arial"/>
      </w:rPr>
    </w:lvl>
  </w:abstractNum>
  <w:abstractNum w:abstractNumId="2">
    <w:nsid w:val="0BDD5F2B"/>
    <w:multiLevelType w:val="multilevel"/>
    <w:tmpl w:val="0BDD5F2B"/>
    <w:lvl w:ilvl="0" w:tentative="0">
      <w:start w:val="1"/>
      <w:numFmt w:val="decimal"/>
      <w:pStyle w:val="2"/>
      <w:suff w:val="nothing"/>
      <w:lvlText w:val="%1  "/>
      <w:lvlJc w:val="left"/>
      <w:pPr>
        <w:ind w:left="0" w:firstLine="0"/>
      </w:pPr>
      <w:rPr>
        <w:rFonts w:hint="default" w:ascii="Arial" w:hAnsi="Arial" w:eastAsia="黑体"/>
        <w:b w:val="0"/>
        <w:i w:val="0"/>
        <w:sz w:val="36"/>
        <w:szCs w:val="36"/>
        <w:lang w:val="en-US"/>
      </w:rPr>
    </w:lvl>
    <w:lvl w:ilvl="1" w:tentative="0">
      <w:start w:val="1"/>
      <w:numFmt w:val="decimal"/>
      <w:pStyle w:val="3"/>
      <w:suff w:val="nothing"/>
      <w:lvlText w:val="%1.%2  "/>
      <w:lvlJc w:val="left"/>
      <w:pPr>
        <w:ind w:left="993" w:firstLine="0"/>
      </w:pPr>
      <w:rPr>
        <w:rFonts w:hint="default" w:ascii="Arial" w:hAnsi="Arial" w:cs="Arial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 w:tentative="0">
      <w:start w:val="1"/>
      <w:numFmt w:val="decimal"/>
      <w:pStyle w:val="4"/>
      <w:suff w:val="nothing"/>
      <w:lvlText w:val="%1.%2.%3  "/>
      <w:lvlJc w:val="left"/>
      <w:pPr>
        <w:ind w:left="426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</w:rPr>
    </w:lvl>
    <w:lvl w:ilvl="3" w:tentative="0">
      <w:start w:val="1"/>
      <w:numFmt w:val="decimal"/>
      <w:suff w:val="nothing"/>
      <w:lvlText w:val="%1.%2.%3.%4  "/>
      <w:lvlJc w:val="left"/>
      <w:pPr>
        <w:ind w:left="2694" w:firstLine="0"/>
      </w:pPr>
      <w:rPr>
        <w:rFonts w:hint="eastAsia"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4" w:tentative="0">
      <w:start w:val="1"/>
      <w:numFmt w:val="decimal"/>
      <w:lvlText w:val="%5."/>
      <w:lvlJc w:val="left"/>
      <w:pPr>
        <w:tabs>
          <w:tab w:val="left" w:pos="3828"/>
        </w:tabs>
        <w:ind w:left="3828" w:hanging="312"/>
      </w:pPr>
      <w:rPr>
        <w:rFonts w:hint="default" w:ascii="Arial" w:hAnsi="Arial"/>
        <w:b w:val="0"/>
        <w:i w:val="0"/>
        <w:sz w:val="21"/>
        <w:szCs w:val="21"/>
      </w:rPr>
    </w:lvl>
    <w:lvl w:ilvl="5" w:tentative="0">
      <w:start w:val="1"/>
      <w:numFmt w:val="lowerLetter"/>
      <w:lvlText w:val="%6)"/>
      <w:lvlJc w:val="left"/>
      <w:pPr>
        <w:tabs>
          <w:tab w:val="left" w:pos="3828"/>
        </w:tabs>
        <w:ind w:left="3828" w:hanging="312"/>
      </w:pPr>
      <w:rPr>
        <w:rFonts w:ascii="Times New Roman" w:hAnsi="Times New Roman" w:eastAsia="宋体" w:cs="Times New Roman"/>
        <w:b w:val="0"/>
        <w:i w:val="0"/>
        <w:sz w:val="21"/>
        <w:szCs w:val="21"/>
      </w:rPr>
    </w:lvl>
    <w:lvl w:ilvl="6" w:tentative="0">
      <w:start w:val="1"/>
      <w:numFmt w:val="lowerLetter"/>
      <w:lvlText w:val="%7."/>
      <w:lvlJc w:val="left"/>
      <w:pPr>
        <w:tabs>
          <w:tab w:val="left" w:pos="3828"/>
        </w:tabs>
        <w:ind w:left="3828" w:hanging="312"/>
      </w:pPr>
      <w:rPr>
        <w:rFonts w:hint="default" w:ascii="Arial" w:hAnsi="Arial"/>
        <w:b w:val="0"/>
        <w:i w:val="0"/>
        <w:sz w:val="21"/>
        <w:szCs w:val="21"/>
      </w:rPr>
    </w:lvl>
    <w:lvl w:ilvl="7" w:tentative="0">
      <w:start w:val="1"/>
      <w:numFmt w:val="decimal"/>
      <w:lvlRestart w:val="0"/>
      <w:suff w:val="space"/>
      <w:lvlText w:val="Figure %8"/>
      <w:lvlJc w:val="center"/>
      <w:pPr>
        <w:ind w:left="2694" w:firstLine="0"/>
      </w:pPr>
      <w:rPr>
        <w:rFonts w:hint="default" w:ascii="Arial" w:hAnsi="Arial" w:eastAsia="黑体"/>
        <w:b w:val="0"/>
        <w:i w:val="0"/>
        <w:sz w:val="18"/>
        <w:szCs w:val="18"/>
      </w:rPr>
    </w:lvl>
    <w:lvl w:ilvl="8" w:tentative="0">
      <w:start w:val="1"/>
      <w:numFmt w:val="decimal"/>
      <w:lvlRestart w:val="0"/>
      <w:suff w:val="space"/>
      <w:lvlText w:val="表%9"/>
      <w:lvlJc w:val="center"/>
      <w:pPr>
        <w:ind w:left="2694" w:firstLine="0"/>
      </w:pPr>
      <w:rPr>
        <w:rFonts w:hint="default" w:ascii="Arial" w:hAnsi="Arial" w:eastAsia="黑体"/>
        <w:b w:val="0"/>
        <w:i w:val="0"/>
        <w:sz w:val="18"/>
        <w:szCs w:val="18"/>
      </w:rPr>
    </w:lvl>
  </w:abstractNum>
  <w:abstractNum w:abstractNumId="3">
    <w:nsid w:val="31343BB7"/>
    <w:multiLevelType w:val="singleLevel"/>
    <w:tmpl w:val="31343BB7"/>
    <w:lvl w:ilvl="0" w:tentative="0">
      <w:start w:val="1"/>
      <w:numFmt w:val="decimal"/>
      <w:pStyle w:val="32"/>
      <w:lvlText w:val="Observation %1: "/>
      <w:lvlJc w:val="left"/>
      <w:pPr>
        <w:tabs>
          <w:tab w:val="left" w:pos="0"/>
        </w:tabs>
        <w:ind w:left="0" w:firstLine="0"/>
      </w:pPr>
      <w:rPr>
        <w:rFonts w:hint="default" w:ascii="Times New Roman" w:hAnsi="Times New Roman" w:eastAsia="宋体" w:cs="Times New Roman"/>
        <w:b/>
        <w:bCs/>
        <w:i/>
        <w:iCs/>
      </w:rPr>
    </w:lvl>
  </w:abstractNum>
  <w:abstractNum w:abstractNumId="4">
    <w:nsid w:val="3A877D64"/>
    <w:multiLevelType w:val="singleLevel"/>
    <w:tmpl w:val="3A877D64"/>
    <w:lvl w:ilvl="0" w:tentative="0">
      <w:start w:val="1"/>
      <w:numFmt w:val="decimal"/>
      <w:pStyle w:val="33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5">
    <w:nsid w:val="5BAA8B4C"/>
    <w:multiLevelType w:val="multilevel"/>
    <w:tmpl w:val="5BAA8B4C"/>
    <w:lvl w:ilvl="0" w:tentative="0">
      <w:start w:val="1"/>
      <w:numFmt w:val="decimal"/>
      <w:pStyle w:val="31"/>
      <w:lvlText w:val="Proposal %1:"/>
      <w:lvlJc w:val="left"/>
      <w:pPr>
        <w:tabs>
          <w:tab w:val="left" w:pos="0"/>
        </w:tabs>
        <w:ind w:left="0" w:firstLine="0"/>
      </w:pPr>
      <w:rPr>
        <w:rFonts w:hint="default" w:ascii="Times New Roman" w:hAnsi="Times New Roman" w:eastAsia="宋体" w:cs="Times New Roman"/>
        <w:b/>
        <w:bCs/>
        <w:i/>
        <w:iCs/>
        <w:lang w:val="en-US"/>
      </w:rPr>
    </w:lvl>
    <w:lvl w:ilvl="1" w:tentative="0">
      <w:start w:val="1"/>
      <w:numFmt w:val="bullet"/>
      <w:pStyle w:val="44"/>
      <w:lvlText w:val="•"/>
      <w:lvlJc w:val="left"/>
      <w:pPr>
        <w:tabs>
          <w:tab w:val="left" w:pos="840"/>
        </w:tabs>
        <w:ind w:left="840" w:hanging="420"/>
      </w:pPr>
      <w:rPr>
        <w:rFonts w:hint="default" w:ascii="Arial" w:hAnsi="Arial" w:eastAsia="宋体" w:cs="Arial"/>
        <w:b/>
        <w:bCs/>
        <w:i/>
        <w:iCs/>
      </w:rPr>
    </w:lvl>
    <w:lvl w:ilvl="2" w:tentative="0">
      <w:start w:val="1"/>
      <w:numFmt w:val="bullet"/>
      <w:pStyle w:val="45"/>
      <w:lvlText w:val="o"/>
      <w:lvlJc w:val="left"/>
      <w:pPr>
        <w:tabs>
          <w:tab w:val="left" w:pos="1260"/>
        </w:tabs>
        <w:ind w:left="1260" w:hanging="420"/>
      </w:pPr>
      <w:rPr>
        <w:rFonts w:hint="default" w:ascii="Courier New" w:hAnsi="Courier New" w:cs="Courier New"/>
      </w:rPr>
    </w:lvl>
    <w:lvl w:ilvl="3" w:tentative="0">
      <w:start w:val="1"/>
      <w:numFmt w:val="lowerRoman"/>
      <w:lvlText w:val="%4."/>
      <w:lvlJc w:val="left"/>
      <w:pPr>
        <w:tabs>
          <w:tab w:val="left" w:pos="1680"/>
        </w:tabs>
        <w:ind w:left="1680" w:hanging="420"/>
      </w:pPr>
      <w:rPr>
        <w:rFonts w:hint="default" w:ascii="宋体" w:hAnsi="宋体" w:eastAsia="宋体" w:cs="宋体"/>
      </w:r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 w:tentative="0">
      <w:start w:val="1"/>
      <w:numFmt w:val="lowerRoman"/>
      <w:lvlText w:val="%6.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 w:tentative="0">
      <w:start w:val="1"/>
      <w:numFmt w:val="lowerRoman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abstractNum w:abstractNumId="6">
    <w:nsid w:val="5F723A5E"/>
    <w:multiLevelType w:val="singleLevel"/>
    <w:tmpl w:val="5F723A5E"/>
    <w:lvl w:ilvl="0" w:tentative="0">
      <w:start w:val="1"/>
      <w:numFmt w:val="decimal"/>
      <w:suff w:val="space"/>
      <w:lvlText w:val="[%1]"/>
      <w:lvlJc w:val="left"/>
    </w:lvl>
  </w:abstractNum>
  <w:abstractNum w:abstractNumId="7">
    <w:nsid w:val="6B5B4F67"/>
    <w:multiLevelType w:val="multilevel"/>
    <w:tmpl w:val="6B5B4F67"/>
    <w:lvl w:ilvl="0" w:tentative="0">
      <w:start w:val="1"/>
      <w:numFmt w:val="decimal"/>
      <w:pStyle w:val="12"/>
      <w:lvlText w:val="[%1]"/>
      <w:lvlJc w:val="left"/>
      <w:pPr>
        <w:ind w:left="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62" w:hanging="420"/>
      </w:pPr>
    </w:lvl>
    <w:lvl w:ilvl="2" w:tentative="0">
      <w:start w:val="1"/>
      <w:numFmt w:val="lowerRoman"/>
      <w:lvlText w:val="%3."/>
      <w:lvlJc w:val="right"/>
      <w:pPr>
        <w:ind w:left="482" w:hanging="420"/>
      </w:pPr>
    </w:lvl>
    <w:lvl w:ilvl="3" w:tentative="0">
      <w:start w:val="1"/>
      <w:numFmt w:val="decimal"/>
      <w:lvlText w:val="%4."/>
      <w:lvlJc w:val="left"/>
      <w:pPr>
        <w:ind w:left="902" w:hanging="420"/>
      </w:pPr>
    </w:lvl>
    <w:lvl w:ilvl="4" w:tentative="0">
      <w:start w:val="1"/>
      <w:numFmt w:val="lowerLetter"/>
      <w:lvlText w:val="%5)"/>
      <w:lvlJc w:val="left"/>
      <w:pPr>
        <w:ind w:left="1322" w:hanging="420"/>
      </w:pPr>
    </w:lvl>
    <w:lvl w:ilvl="5" w:tentative="0">
      <w:start w:val="1"/>
      <w:numFmt w:val="lowerRoman"/>
      <w:lvlText w:val="%6."/>
      <w:lvlJc w:val="right"/>
      <w:pPr>
        <w:ind w:left="1742" w:hanging="420"/>
      </w:pPr>
    </w:lvl>
    <w:lvl w:ilvl="6" w:tentative="0">
      <w:start w:val="1"/>
      <w:numFmt w:val="decimal"/>
      <w:lvlText w:val="%7."/>
      <w:lvlJc w:val="left"/>
      <w:pPr>
        <w:ind w:left="2162" w:hanging="420"/>
      </w:pPr>
    </w:lvl>
    <w:lvl w:ilvl="7" w:tentative="0">
      <w:start w:val="1"/>
      <w:numFmt w:val="lowerLetter"/>
      <w:lvlText w:val="%8)"/>
      <w:lvlJc w:val="left"/>
      <w:pPr>
        <w:ind w:left="2582" w:hanging="420"/>
      </w:pPr>
    </w:lvl>
    <w:lvl w:ilvl="8" w:tentative="0">
      <w:start w:val="1"/>
      <w:numFmt w:val="lowerRoman"/>
      <w:lvlText w:val="%9."/>
      <w:lvlJc w:val="right"/>
      <w:pPr>
        <w:ind w:left="3002" w:hanging="420"/>
      </w:pPr>
    </w:lvl>
  </w:abstractNum>
  <w:abstractNum w:abstractNumId="8">
    <w:nsid w:val="73F84999"/>
    <w:multiLevelType w:val="multilevel"/>
    <w:tmpl w:val="73F84999"/>
    <w:lvl w:ilvl="0" w:tentative="0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eastAsia="Times New Roman" w:cs="Times New Roman"/>
      </w:rPr>
    </w:lvl>
    <w:lvl w:ilvl="1" w:tentative="0">
      <w:start w:val="1"/>
      <w:numFmt w:val="bullet"/>
      <w:lvlText w:val="o"/>
      <w:lvlJc w:val="left"/>
      <w:pPr>
        <w:ind w:left="1364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084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04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524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244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4964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684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04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7"/>
  </w:num>
  <w:num w:numId="3">
    <w:abstractNumId w:val="5"/>
  </w:num>
  <w:num w:numId="4">
    <w:abstractNumId w:val="3"/>
  </w:num>
  <w:num w:numId="5">
    <w:abstractNumId w:val="4"/>
  </w:num>
  <w:num w:numId="6">
    <w:abstractNumId w:val="1"/>
  </w:num>
  <w:num w:numId="7">
    <w:abstractNumId w:val="0"/>
  </w:num>
  <w:num w:numId="8">
    <w:abstractNumId w:val="8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bordersDoNotSurroundHeader w:val="0"/>
  <w:bordersDoNotSurroundFooter w:val="0"/>
  <w:documentProtection w:enforcement="0"/>
  <w:defaultTabStop w:val="420"/>
  <w:drawingGridHorizontalSpacing w:val="120"/>
  <w:drawingGridVerticalSpacing w:val="120"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3495"/>
    <w:rsid w:val="00005E2B"/>
    <w:rsid w:val="000060A1"/>
    <w:rsid w:val="000145B0"/>
    <w:rsid w:val="00021417"/>
    <w:rsid w:val="00023F70"/>
    <w:rsid w:val="00024917"/>
    <w:rsid w:val="00026619"/>
    <w:rsid w:val="00026F05"/>
    <w:rsid w:val="0002708F"/>
    <w:rsid w:val="000328AB"/>
    <w:rsid w:val="00055E90"/>
    <w:rsid w:val="0006398D"/>
    <w:rsid w:val="00073869"/>
    <w:rsid w:val="0008331E"/>
    <w:rsid w:val="000854F3"/>
    <w:rsid w:val="000913AF"/>
    <w:rsid w:val="000A4133"/>
    <w:rsid w:val="000A4385"/>
    <w:rsid w:val="000A5F2D"/>
    <w:rsid w:val="000A7E5B"/>
    <w:rsid w:val="000B306C"/>
    <w:rsid w:val="000B72CE"/>
    <w:rsid w:val="000C6FD0"/>
    <w:rsid w:val="000D2BFF"/>
    <w:rsid w:val="000D57E0"/>
    <w:rsid w:val="000D6B5A"/>
    <w:rsid w:val="000E17BC"/>
    <w:rsid w:val="000E2366"/>
    <w:rsid w:val="000F331A"/>
    <w:rsid w:val="000F64F0"/>
    <w:rsid w:val="000F734B"/>
    <w:rsid w:val="00103A61"/>
    <w:rsid w:val="00104103"/>
    <w:rsid w:val="00124481"/>
    <w:rsid w:val="00126AB9"/>
    <w:rsid w:val="00134804"/>
    <w:rsid w:val="00136DE0"/>
    <w:rsid w:val="0014297B"/>
    <w:rsid w:val="00153D6E"/>
    <w:rsid w:val="00154186"/>
    <w:rsid w:val="00154928"/>
    <w:rsid w:val="001668F7"/>
    <w:rsid w:val="00167A66"/>
    <w:rsid w:val="00172A27"/>
    <w:rsid w:val="00181331"/>
    <w:rsid w:val="001972EC"/>
    <w:rsid w:val="001A02CC"/>
    <w:rsid w:val="001A0763"/>
    <w:rsid w:val="001A2F90"/>
    <w:rsid w:val="001B4491"/>
    <w:rsid w:val="001B4A61"/>
    <w:rsid w:val="001C0690"/>
    <w:rsid w:val="001C7EE8"/>
    <w:rsid w:val="001D1D23"/>
    <w:rsid w:val="001D35E0"/>
    <w:rsid w:val="001E3484"/>
    <w:rsid w:val="001E43E0"/>
    <w:rsid w:val="001E4B08"/>
    <w:rsid w:val="001E4FF2"/>
    <w:rsid w:val="001E6706"/>
    <w:rsid w:val="001F2704"/>
    <w:rsid w:val="001F3990"/>
    <w:rsid w:val="001F442D"/>
    <w:rsid w:val="001F53DF"/>
    <w:rsid w:val="001F6B73"/>
    <w:rsid w:val="00200A37"/>
    <w:rsid w:val="00204B15"/>
    <w:rsid w:val="00205DE5"/>
    <w:rsid w:val="00210590"/>
    <w:rsid w:val="0021619D"/>
    <w:rsid w:val="002169F5"/>
    <w:rsid w:val="00224306"/>
    <w:rsid w:val="00233D01"/>
    <w:rsid w:val="00243827"/>
    <w:rsid w:val="00251D82"/>
    <w:rsid w:val="00253ACA"/>
    <w:rsid w:val="00256654"/>
    <w:rsid w:val="00263BFE"/>
    <w:rsid w:val="002721B8"/>
    <w:rsid w:val="00284819"/>
    <w:rsid w:val="00291C5F"/>
    <w:rsid w:val="002A5285"/>
    <w:rsid w:val="002B317A"/>
    <w:rsid w:val="002B7F9A"/>
    <w:rsid w:val="002C38DE"/>
    <w:rsid w:val="002D17CE"/>
    <w:rsid w:val="002D2488"/>
    <w:rsid w:val="002D535F"/>
    <w:rsid w:val="002E5075"/>
    <w:rsid w:val="002F60C6"/>
    <w:rsid w:val="00301C69"/>
    <w:rsid w:val="00307D72"/>
    <w:rsid w:val="00314629"/>
    <w:rsid w:val="00332ECB"/>
    <w:rsid w:val="003554B9"/>
    <w:rsid w:val="00365C81"/>
    <w:rsid w:val="00371A27"/>
    <w:rsid w:val="0037274A"/>
    <w:rsid w:val="00380EC3"/>
    <w:rsid w:val="00384FD2"/>
    <w:rsid w:val="0038701B"/>
    <w:rsid w:val="003875B1"/>
    <w:rsid w:val="003A449D"/>
    <w:rsid w:val="003A49A7"/>
    <w:rsid w:val="003A69A9"/>
    <w:rsid w:val="003B45A9"/>
    <w:rsid w:val="003B4D5C"/>
    <w:rsid w:val="003D6404"/>
    <w:rsid w:val="003E2CA8"/>
    <w:rsid w:val="003E4486"/>
    <w:rsid w:val="003E571A"/>
    <w:rsid w:val="004005E1"/>
    <w:rsid w:val="00403A84"/>
    <w:rsid w:val="004127DE"/>
    <w:rsid w:val="004136C5"/>
    <w:rsid w:val="00415A01"/>
    <w:rsid w:val="0041686A"/>
    <w:rsid w:val="00430809"/>
    <w:rsid w:val="0043126B"/>
    <w:rsid w:val="00432CFA"/>
    <w:rsid w:val="00434072"/>
    <w:rsid w:val="0044439F"/>
    <w:rsid w:val="00447360"/>
    <w:rsid w:val="004473B1"/>
    <w:rsid w:val="00450ED2"/>
    <w:rsid w:val="00456CF0"/>
    <w:rsid w:val="00464D3A"/>
    <w:rsid w:val="0046786B"/>
    <w:rsid w:val="00471253"/>
    <w:rsid w:val="00472E2B"/>
    <w:rsid w:val="00474D46"/>
    <w:rsid w:val="00475442"/>
    <w:rsid w:val="00486D5B"/>
    <w:rsid w:val="00487520"/>
    <w:rsid w:val="00491DB1"/>
    <w:rsid w:val="00491F56"/>
    <w:rsid w:val="004953DD"/>
    <w:rsid w:val="00496B7E"/>
    <w:rsid w:val="004A0A7D"/>
    <w:rsid w:val="004A219E"/>
    <w:rsid w:val="004B67C9"/>
    <w:rsid w:val="004B7C15"/>
    <w:rsid w:val="004C655F"/>
    <w:rsid w:val="004C68C4"/>
    <w:rsid w:val="004C7188"/>
    <w:rsid w:val="004C7366"/>
    <w:rsid w:val="004D00C7"/>
    <w:rsid w:val="004D7D6B"/>
    <w:rsid w:val="004E2C18"/>
    <w:rsid w:val="004E7D56"/>
    <w:rsid w:val="004F40F6"/>
    <w:rsid w:val="004F5309"/>
    <w:rsid w:val="005060AB"/>
    <w:rsid w:val="005117D3"/>
    <w:rsid w:val="005171AF"/>
    <w:rsid w:val="00530C83"/>
    <w:rsid w:val="005317AF"/>
    <w:rsid w:val="00540778"/>
    <w:rsid w:val="00551FB7"/>
    <w:rsid w:val="0055200D"/>
    <w:rsid w:val="005558F3"/>
    <w:rsid w:val="00556373"/>
    <w:rsid w:val="005600DF"/>
    <w:rsid w:val="00564DDE"/>
    <w:rsid w:val="00571C54"/>
    <w:rsid w:val="00571EA0"/>
    <w:rsid w:val="0057307C"/>
    <w:rsid w:val="005759AE"/>
    <w:rsid w:val="00581F2D"/>
    <w:rsid w:val="0059380D"/>
    <w:rsid w:val="005A33BC"/>
    <w:rsid w:val="005A62C0"/>
    <w:rsid w:val="005A634E"/>
    <w:rsid w:val="005B04FD"/>
    <w:rsid w:val="005B1BD7"/>
    <w:rsid w:val="005B5EA3"/>
    <w:rsid w:val="005C460A"/>
    <w:rsid w:val="005C7FA5"/>
    <w:rsid w:val="005D070D"/>
    <w:rsid w:val="005E40FB"/>
    <w:rsid w:val="005F1838"/>
    <w:rsid w:val="005F72AF"/>
    <w:rsid w:val="0060166B"/>
    <w:rsid w:val="00610622"/>
    <w:rsid w:val="00610E84"/>
    <w:rsid w:val="00623BAF"/>
    <w:rsid w:val="00624225"/>
    <w:rsid w:val="0062500E"/>
    <w:rsid w:val="00627358"/>
    <w:rsid w:val="00645440"/>
    <w:rsid w:val="0064615A"/>
    <w:rsid w:val="006519B5"/>
    <w:rsid w:val="00652629"/>
    <w:rsid w:val="00653661"/>
    <w:rsid w:val="00653D1A"/>
    <w:rsid w:val="006814BC"/>
    <w:rsid w:val="00681EE2"/>
    <w:rsid w:val="00682C34"/>
    <w:rsid w:val="00692759"/>
    <w:rsid w:val="00692D06"/>
    <w:rsid w:val="00693693"/>
    <w:rsid w:val="00694E3B"/>
    <w:rsid w:val="00696209"/>
    <w:rsid w:val="006A4F63"/>
    <w:rsid w:val="006C4128"/>
    <w:rsid w:val="006C4FC1"/>
    <w:rsid w:val="006D0BE3"/>
    <w:rsid w:val="006D73E7"/>
    <w:rsid w:val="006E07F5"/>
    <w:rsid w:val="006E0F39"/>
    <w:rsid w:val="006E2948"/>
    <w:rsid w:val="006F1E71"/>
    <w:rsid w:val="007100E9"/>
    <w:rsid w:val="00713289"/>
    <w:rsid w:val="00721C3B"/>
    <w:rsid w:val="007238ED"/>
    <w:rsid w:val="007274EB"/>
    <w:rsid w:val="00735D0D"/>
    <w:rsid w:val="00746E22"/>
    <w:rsid w:val="00756220"/>
    <w:rsid w:val="00764336"/>
    <w:rsid w:val="00776540"/>
    <w:rsid w:val="0078265C"/>
    <w:rsid w:val="00785CCD"/>
    <w:rsid w:val="007864BC"/>
    <w:rsid w:val="007A111A"/>
    <w:rsid w:val="007B4AEC"/>
    <w:rsid w:val="007B78BA"/>
    <w:rsid w:val="007B7C40"/>
    <w:rsid w:val="007C0F3F"/>
    <w:rsid w:val="007C212D"/>
    <w:rsid w:val="007C2AEA"/>
    <w:rsid w:val="007C35BD"/>
    <w:rsid w:val="007C56BF"/>
    <w:rsid w:val="007D40A3"/>
    <w:rsid w:val="007D7EC8"/>
    <w:rsid w:val="007E083E"/>
    <w:rsid w:val="007E73BB"/>
    <w:rsid w:val="007F0C82"/>
    <w:rsid w:val="007F397A"/>
    <w:rsid w:val="007F5D97"/>
    <w:rsid w:val="007F6ACE"/>
    <w:rsid w:val="00804AC9"/>
    <w:rsid w:val="00810B4C"/>
    <w:rsid w:val="0082424D"/>
    <w:rsid w:val="008308A0"/>
    <w:rsid w:val="00832E40"/>
    <w:rsid w:val="008352F1"/>
    <w:rsid w:val="00841F02"/>
    <w:rsid w:val="00847D16"/>
    <w:rsid w:val="008616A3"/>
    <w:rsid w:val="00866C06"/>
    <w:rsid w:val="00884866"/>
    <w:rsid w:val="0088501F"/>
    <w:rsid w:val="0088695E"/>
    <w:rsid w:val="00887B64"/>
    <w:rsid w:val="00887C4C"/>
    <w:rsid w:val="00892BB4"/>
    <w:rsid w:val="00896760"/>
    <w:rsid w:val="008B5336"/>
    <w:rsid w:val="008B5677"/>
    <w:rsid w:val="008C42E9"/>
    <w:rsid w:val="008C71FA"/>
    <w:rsid w:val="008D0FE9"/>
    <w:rsid w:val="008E23F2"/>
    <w:rsid w:val="0090159D"/>
    <w:rsid w:val="00902259"/>
    <w:rsid w:val="009211BF"/>
    <w:rsid w:val="00923381"/>
    <w:rsid w:val="0092386E"/>
    <w:rsid w:val="00935D52"/>
    <w:rsid w:val="00944A9F"/>
    <w:rsid w:val="00945902"/>
    <w:rsid w:val="00954CEE"/>
    <w:rsid w:val="00957C85"/>
    <w:rsid w:val="00960230"/>
    <w:rsid w:val="00962FE8"/>
    <w:rsid w:val="0096312C"/>
    <w:rsid w:val="0096379A"/>
    <w:rsid w:val="009727FD"/>
    <w:rsid w:val="00975C4A"/>
    <w:rsid w:val="00985071"/>
    <w:rsid w:val="00993F32"/>
    <w:rsid w:val="009C165E"/>
    <w:rsid w:val="009C4D8C"/>
    <w:rsid w:val="009D77AD"/>
    <w:rsid w:val="009E2DC5"/>
    <w:rsid w:val="009F300C"/>
    <w:rsid w:val="009F72E0"/>
    <w:rsid w:val="00A1419A"/>
    <w:rsid w:val="00A2192E"/>
    <w:rsid w:val="00A307A0"/>
    <w:rsid w:val="00A36F0A"/>
    <w:rsid w:val="00A45420"/>
    <w:rsid w:val="00A51603"/>
    <w:rsid w:val="00A55ACD"/>
    <w:rsid w:val="00A56951"/>
    <w:rsid w:val="00A56B38"/>
    <w:rsid w:val="00A60FC1"/>
    <w:rsid w:val="00A66ED0"/>
    <w:rsid w:val="00A71700"/>
    <w:rsid w:val="00A73727"/>
    <w:rsid w:val="00A8158C"/>
    <w:rsid w:val="00A827D7"/>
    <w:rsid w:val="00A8652B"/>
    <w:rsid w:val="00A96342"/>
    <w:rsid w:val="00A9687A"/>
    <w:rsid w:val="00AA0C45"/>
    <w:rsid w:val="00AB1D66"/>
    <w:rsid w:val="00AB7E4D"/>
    <w:rsid w:val="00AC3E7C"/>
    <w:rsid w:val="00AC4B90"/>
    <w:rsid w:val="00AD02C9"/>
    <w:rsid w:val="00AE4768"/>
    <w:rsid w:val="00AE5FAD"/>
    <w:rsid w:val="00AE71B6"/>
    <w:rsid w:val="00AF58D5"/>
    <w:rsid w:val="00B012CB"/>
    <w:rsid w:val="00B0288C"/>
    <w:rsid w:val="00B24A68"/>
    <w:rsid w:val="00B2645C"/>
    <w:rsid w:val="00B3240D"/>
    <w:rsid w:val="00B353FD"/>
    <w:rsid w:val="00B36DB0"/>
    <w:rsid w:val="00B43BBB"/>
    <w:rsid w:val="00B5514D"/>
    <w:rsid w:val="00B551F6"/>
    <w:rsid w:val="00B56064"/>
    <w:rsid w:val="00B5652E"/>
    <w:rsid w:val="00B6797B"/>
    <w:rsid w:val="00B92BB4"/>
    <w:rsid w:val="00BB0A84"/>
    <w:rsid w:val="00BB7052"/>
    <w:rsid w:val="00BC2AB7"/>
    <w:rsid w:val="00BE107C"/>
    <w:rsid w:val="00BE1368"/>
    <w:rsid w:val="00BF62E8"/>
    <w:rsid w:val="00C022A6"/>
    <w:rsid w:val="00C05C0B"/>
    <w:rsid w:val="00C107DB"/>
    <w:rsid w:val="00C137EA"/>
    <w:rsid w:val="00C16823"/>
    <w:rsid w:val="00C24C53"/>
    <w:rsid w:val="00C25162"/>
    <w:rsid w:val="00C27661"/>
    <w:rsid w:val="00C322B2"/>
    <w:rsid w:val="00C32A42"/>
    <w:rsid w:val="00C33951"/>
    <w:rsid w:val="00C3448B"/>
    <w:rsid w:val="00C43BD4"/>
    <w:rsid w:val="00C45E33"/>
    <w:rsid w:val="00C50EDF"/>
    <w:rsid w:val="00C5398B"/>
    <w:rsid w:val="00C83A72"/>
    <w:rsid w:val="00C928AB"/>
    <w:rsid w:val="00C93ED4"/>
    <w:rsid w:val="00C954A7"/>
    <w:rsid w:val="00C95F42"/>
    <w:rsid w:val="00CA08F3"/>
    <w:rsid w:val="00CA283F"/>
    <w:rsid w:val="00CA568B"/>
    <w:rsid w:val="00CB1EDD"/>
    <w:rsid w:val="00CB5814"/>
    <w:rsid w:val="00CC0827"/>
    <w:rsid w:val="00CC33D5"/>
    <w:rsid w:val="00CC3433"/>
    <w:rsid w:val="00CC42B3"/>
    <w:rsid w:val="00CC516E"/>
    <w:rsid w:val="00CC51D5"/>
    <w:rsid w:val="00CC6EF3"/>
    <w:rsid w:val="00CC7C77"/>
    <w:rsid w:val="00CD3F9F"/>
    <w:rsid w:val="00CE50F2"/>
    <w:rsid w:val="00CE5EAF"/>
    <w:rsid w:val="00CE79B3"/>
    <w:rsid w:val="00CF40EB"/>
    <w:rsid w:val="00D0372D"/>
    <w:rsid w:val="00D05CCB"/>
    <w:rsid w:val="00D0717D"/>
    <w:rsid w:val="00D12096"/>
    <w:rsid w:val="00D15E57"/>
    <w:rsid w:val="00D2097F"/>
    <w:rsid w:val="00D21EF8"/>
    <w:rsid w:val="00D234CB"/>
    <w:rsid w:val="00D35BC4"/>
    <w:rsid w:val="00D52E7D"/>
    <w:rsid w:val="00D67AC0"/>
    <w:rsid w:val="00D67B5A"/>
    <w:rsid w:val="00D70142"/>
    <w:rsid w:val="00D7345C"/>
    <w:rsid w:val="00D75EDF"/>
    <w:rsid w:val="00DA28CF"/>
    <w:rsid w:val="00DA51C2"/>
    <w:rsid w:val="00DB5D94"/>
    <w:rsid w:val="00DC0D6E"/>
    <w:rsid w:val="00DE5372"/>
    <w:rsid w:val="00E006DF"/>
    <w:rsid w:val="00E01390"/>
    <w:rsid w:val="00E05D5E"/>
    <w:rsid w:val="00E11075"/>
    <w:rsid w:val="00E11CBF"/>
    <w:rsid w:val="00E169AA"/>
    <w:rsid w:val="00E16B1D"/>
    <w:rsid w:val="00E329CC"/>
    <w:rsid w:val="00E341EE"/>
    <w:rsid w:val="00E34DFB"/>
    <w:rsid w:val="00E362EA"/>
    <w:rsid w:val="00E408E0"/>
    <w:rsid w:val="00E427D9"/>
    <w:rsid w:val="00E46CAB"/>
    <w:rsid w:val="00E53AB3"/>
    <w:rsid w:val="00E56021"/>
    <w:rsid w:val="00E62914"/>
    <w:rsid w:val="00E65216"/>
    <w:rsid w:val="00E72EED"/>
    <w:rsid w:val="00E8052F"/>
    <w:rsid w:val="00E829E8"/>
    <w:rsid w:val="00E917BF"/>
    <w:rsid w:val="00E94196"/>
    <w:rsid w:val="00E950FF"/>
    <w:rsid w:val="00EA239D"/>
    <w:rsid w:val="00EC2F99"/>
    <w:rsid w:val="00EC56AB"/>
    <w:rsid w:val="00EC62DB"/>
    <w:rsid w:val="00EC7337"/>
    <w:rsid w:val="00ED5E0F"/>
    <w:rsid w:val="00EE0FEF"/>
    <w:rsid w:val="00F10452"/>
    <w:rsid w:val="00F11DBE"/>
    <w:rsid w:val="00F128B1"/>
    <w:rsid w:val="00F149DF"/>
    <w:rsid w:val="00F15C6E"/>
    <w:rsid w:val="00F21B9C"/>
    <w:rsid w:val="00F21C0C"/>
    <w:rsid w:val="00F23D40"/>
    <w:rsid w:val="00F24891"/>
    <w:rsid w:val="00F3322B"/>
    <w:rsid w:val="00F35371"/>
    <w:rsid w:val="00F506E5"/>
    <w:rsid w:val="00F52DE2"/>
    <w:rsid w:val="00F535F8"/>
    <w:rsid w:val="00F60E48"/>
    <w:rsid w:val="00F655C0"/>
    <w:rsid w:val="00F66D2B"/>
    <w:rsid w:val="00F67D26"/>
    <w:rsid w:val="00F7259C"/>
    <w:rsid w:val="00F850E4"/>
    <w:rsid w:val="00F858CA"/>
    <w:rsid w:val="00F91B54"/>
    <w:rsid w:val="00F96911"/>
    <w:rsid w:val="00FA3682"/>
    <w:rsid w:val="00FA3D99"/>
    <w:rsid w:val="00FB2B12"/>
    <w:rsid w:val="00FB3C9D"/>
    <w:rsid w:val="00FB46E7"/>
    <w:rsid w:val="00FB6239"/>
    <w:rsid w:val="00FB7CA4"/>
    <w:rsid w:val="00FC3509"/>
    <w:rsid w:val="00FD026F"/>
    <w:rsid w:val="00FD0720"/>
    <w:rsid w:val="00FD5FC4"/>
    <w:rsid w:val="00FE4F39"/>
    <w:rsid w:val="00FF10BD"/>
    <w:rsid w:val="01017306"/>
    <w:rsid w:val="01101B26"/>
    <w:rsid w:val="011A0B49"/>
    <w:rsid w:val="013E51BE"/>
    <w:rsid w:val="014A0623"/>
    <w:rsid w:val="01536583"/>
    <w:rsid w:val="0156475D"/>
    <w:rsid w:val="015D3EF3"/>
    <w:rsid w:val="016112D3"/>
    <w:rsid w:val="0165788D"/>
    <w:rsid w:val="01764F01"/>
    <w:rsid w:val="018107C9"/>
    <w:rsid w:val="0183684B"/>
    <w:rsid w:val="01854FE9"/>
    <w:rsid w:val="018A47AD"/>
    <w:rsid w:val="018E207B"/>
    <w:rsid w:val="0190283E"/>
    <w:rsid w:val="019C544F"/>
    <w:rsid w:val="019D155B"/>
    <w:rsid w:val="01A428BB"/>
    <w:rsid w:val="01AE307F"/>
    <w:rsid w:val="01B35169"/>
    <w:rsid w:val="01C00B7B"/>
    <w:rsid w:val="01CA1BB3"/>
    <w:rsid w:val="01D00B7E"/>
    <w:rsid w:val="01D46B8D"/>
    <w:rsid w:val="01D67ABF"/>
    <w:rsid w:val="01D866D8"/>
    <w:rsid w:val="01E251A8"/>
    <w:rsid w:val="01E54210"/>
    <w:rsid w:val="01EE2663"/>
    <w:rsid w:val="01F90434"/>
    <w:rsid w:val="01FB366B"/>
    <w:rsid w:val="01FD3930"/>
    <w:rsid w:val="02024A92"/>
    <w:rsid w:val="02042B52"/>
    <w:rsid w:val="021B7C87"/>
    <w:rsid w:val="022D4A6E"/>
    <w:rsid w:val="023512AC"/>
    <w:rsid w:val="023B0A39"/>
    <w:rsid w:val="023C78A7"/>
    <w:rsid w:val="023F3FD3"/>
    <w:rsid w:val="02444B7E"/>
    <w:rsid w:val="024A5964"/>
    <w:rsid w:val="024B023C"/>
    <w:rsid w:val="024C77E0"/>
    <w:rsid w:val="024D6B6A"/>
    <w:rsid w:val="024E43D4"/>
    <w:rsid w:val="02510B5E"/>
    <w:rsid w:val="02566C17"/>
    <w:rsid w:val="025C4BEF"/>
    <w:rsid w:val="026246A1"/>
    <w:rsid w:val="0262759F"/>
    <w:rsid w:val="02655431"/>
    <w:rsid w:val="027275A1"/>
    <w:rsid w:val="027371D9"/>
    <w:rsid w:val="0276366F"/>
    <w:rsid w:val="027F646E"/>
    <w:rsid w:val="027F64CF"/>
    <w:rsid w:val="02867DB1"/>
    <w:rsid w:val="028F6D4C"/>
    <w:rsid w:val="02926AD9"/>
    <w:rsid w:val="02933CBB"/>
    <w:rsid w:val="02951DBD"/>
    <w:rsid w:val="02976D78"/>
    <w:rsid w:val="02983E12"/>
    <w:rsid w:val="029A69A7"/>
    <w:rsid w:val="029B04E7"/>
    <w:rsid w:val="02A10998"/>
    <w:rsid w:val="02AB0FBC"/>
    <w:rsid w:val="02AE6812"/>
    <w:rsid w:val="02D16C80"/>
    <w:rsid w:val="02DC3F9C"/>
    <w:rsid w:val="02E3105C"/>
    <w:rsid w:val="02E63DE2"/>
    <w:rsid w:val="02FB6CDA"/>
    <w:rsid w:val="03036B01"/>
    <w:rsid w:val="03052298"/>
    <w:rsid w:val="03073BDC"/>
    <w:rsid w:val="030A6B04"/>
    <w:rsid w:val="030B0647"/>
    <w:rsid w:val="030B2860"/>
    <w:rsid w:val="030C40C1"/>
    <w:rsid w:val="030D2F0B"/>
    <w:rsid w:val="03147E4E"/>
    <w:rsid w:val="03187492"/>
    <w:rsid w:val="031E429F"/>
    <w:rsid w:val="032F336F"/>
    <w:rsid w:val="03317AD0"/>
    <w:rsid w:val="033C68CE"/>
    <w:rsid w:val="033F734A"/>
    <w:rsid w:val="03403A5C"/>
    <w:rsid w:val="03445E8F"/>
    <w:rsid w:val="03496C64"/>
    <w:rsid w:val="035154D3"/>
    <w:rsid w:val="03527C38"/>
    <w:rsid w:val="0356746F"/>
    <w:rsid w:val="0360259A"/>
    <w:rsid w:val="036522E7"/>
    <w:rsid w:val="036E37C2"/>
    <w:rsid w:val="03746F87"/>
    <w:rsid w:val="037C6EF7"/>
    <w:rsid w:val="03814F5B"/>
    <w:rsid w:val="038B3141"/>
    <w:rsid w:val="03A77DFA"/>
    <w:rsid w:val="03B339B1"/>
    <w:rsid w:val="03C05350"/>
    <w:rsid w:val="03C1287B"/>
    <w:rsid w:val="03C36B0E"/>
    <w:rsid w:val="03C528EA"/>
    <w:rsid w:val="03CF67FA"/>
    <w:rsid w:val="03E120EA"/>
    <w:rsid w:val="03E358F3"/>
    <w:rsid w:val="03E84DE8"/>
    <w:rsid w:val="03EC63CD"/>
    <w:rsid w:val="04030035"/>
    <w:rsid w:val="04142BDC"/>
    <w:rsid w:val="04242D1B"/>
    <w:rsid w:val="04251A4C"/>
    <w:rsid w:val="042D2E97"/>
    <w:rsid w:val="04305EA0"/>
    <w:rsid w:val="04310833"/>
    <w:rsid w:val="04343921"/>
    <w:rsid w:val="04346443"/>
    <w:rsid w:val="043865BF"/>
    <w:rsid w:val="043A14AD"/>
    <w:rsid w:val="044C78D8"/>
    <w:rsid w:val="04537B11"/>
    <w:rsid w:val="04557675"/>
    <w:rsid w:val="04684A28"/>
    <w:rsid w:val="046C0EAE"/>
    <w:rsid w:val="04782230"/>
    <w:rsid w:val="0479507E"/>
    <w:rsid w:val="04894975"/>
    <w:rsid w:val="04922411"/>
    <w:rsid w:val="04A65723"/>
    <w:rsid w:val="04B14B03"/>
    <w:rsid w:val="04CF6607"/>
    <w:rsid w:val="04D46535"/>
    <w:rsid w:val="04DA1A87"/>
    <w:rsid w:val="04DC0F32"/>
    <w:rsid w:val="04DE2DA3"/>
    <w:rsid w:val="04DF3C0B"/>
    <w:rsid w:val="04EB6DF8"/>
    <w:rsid w:val="04FF1C94"/>
    <w:rsid w:val="04FF7D5A"/>
    <w:rsid w:val="0502349F"/>
    <w:rsid w:val="050C587A"/>
    <w:rsid w:val="050E7487"/>
    <w:rsid w:val="05161D2D"/>
    <w:rsid w:val="051B5DBA"/>
    <w:rsid w:val="0522500E"/>
    <w:rsid w:val="052E568F"/>
    <w:rsid w:val="05344105"/>
    <w:rsid w:val="053973F0"/>
    <w:rsid w:val="053E65E7"/>
    <w:rsid w:val="054B2F7A"/>
    <w:rsid w:val="0555228E"/>
    <w:rsid w:val="05595938"/>
    <w:rsid w:val="055A6B82"/>
    <w:rsid w:val="05636085"/>
    <w:rsid w:val="057D1D66"/>
    <w:rsid w:val="059D265F"/>
    <w:rsid w:val="059E1515"/>
    <w:rsid w:val="05AD1B88"/>
    <w:rsid w:val="05B92EC1"/>
    <w:rsid w:val="05D05BD2"/>
    <w:rsid w:val="05DB542B"/>
    <w:rsid w:val="05E078B3"/>
    <w:rsid w:val="05E942A3"/>
    <w:rsid w:val="05EA759F"/>
    <w:rsid w:val="05EE6827"/>
    <w:rsid w:val="0601277E"/>
    <w:rsid w:val="060C5AED"/>
    <w:rsid w:val="06103146"/>
    <w:rsid w:val="06172561"/>
    <w:rsid w:val="061E54DA"/>
    <w:rsid w:val="061E5E22"/>
    <w:rsid w:val="06223FD1"/>
    <w:rsid w:val="062B2FCF"/>
    <w:rsid w:val="063F63E4"/>
    <w:rsid w:val="06460B91"/>
    <w:rsid w:val="0654187C"/>
    <w:rsid w:val="065475DE"/>
    <w:rsid w:val="06556C03"/>
    <w:rsid w:val="06676354"/>
    <w:rsid w:val="066E5330"/>
    <w:rsid w:val="06782F84"/>
    <w:rsid w:val="067C28D6"/>
    <w:rsid w:val="068A55C2"/>
    <w:rsid w:val="068E06BC"/>
    <w:rsid w:val="069201CB"/>
    <w:rsid w:val="069312DA"/>
    <w:rsid w:val="06956E2E"/>
    <w:rsid w:val="06AC7765"/>
    <w:rsid w:val="06B62C91"/>
    <w:rsid w:val="06B741D9"/>
    <w:rsid w:val="06B756E7"/>
    <w:rsid w:val="06C457B6"/>
    <w:rsid w:val="06CA5532"/>
    <w:rsid w:val="06CD4A70"/>
    <w:rsid w:val="06DF4C13"/>
    <w:rsid w:val="06E7678C"/>
    <w:rsid w:val="06EC7519"/>
    <w:rsid w:val="06F42A88"/>
    <w:rsid w:val="06F801C0"/>
    <w:rsid w:val="070E5E48"/>
    <w:rsid w:val="07105178"/>
    <w:rsid w:val="0712124C"/>
    <w:rsid w:val="071C13A8"/>
    <w:rsid w:val="073D143C"/>
    <w:rsid w:val="074454BD"/>
    <w:rsid w:val="074855FD"/>
    <w:rsid w:val="07627CA0"/>
    <w:rsid w:val="076319C4"/>
    <w:rsid w:val="076925D2"/>
    <w:rsid w:val="077241E3"/>
    <w:rsid w:val="0781725F"/>
    <w:rsid w:val="078C5933"/>
    <w:rsid w:val="078D336C"/>
    <w:rsid w:val="07971B3F"/>
    <w:rsid w:val="07983294"/>
    <w:rsid w:val="079B3BB0"/>
    <w:rsid w:val="079F1838"/>
    <w:rsid w:val="07A2030D"/>
    <w:rsid w:val="07A5677E"/>
    <w:rsid w:val="07B51934"/>
    <w:rsid w:val="07B9290D"/>
    <w:rsid w:val="07BE52B9"/>
    <w:rsid w:val="07C55A1A"/>
    <w:rsid w:val="07CB1347"/>
    <w:rsid w:val="07D57946"/>
    <w:rsid w:val="07ED524D"/>
    <w:rsid w:val="07F065BC"/>
    <w:rsid w:val="080124E3"/>
    <w:rsid w:val="08030E27"/>
    <w:rsid w:val="080C7FA0"/>
    <w:rsid w:val="080F0F47"/>
    <w:rsid w:val="08193C24"/>
    <w:rsid w:val="082A7098"/>
    <w:rsid w:val="08334B3D"/>
    <w:rsid w:val="08341060"/>
    <w:rsid w:val="08732D34"/>
    <w:rsid w:val="08787FF0"/>
    <w:rsid w:val="087C4B7B"/>
    <w:rsid w:val="08824DF0"/>
    <w:rsid w:val="0889002B"/>
    <w:rsid w:val="089B79D9"/>
    <w:rsid w:val="08A44DA6"/>
    <w:rsid w:val="08AA245A"/>
    <w:rsid w:val="08AD2ACC"/>
    <w:rsid w:val="08BA6E24"/>
    <w:rsid w:val="08C024D5"/>
    <w:rsid w:val="08C562FD"/>
    <w:rsid w:val="08CA27B1"/>
    <w:rsid w:val="08E916DF"/>
    <w:rsid w:val="08F473EA"/>
    <w:rsid w:val="08FC0AA5"/>
    <w:rsid w:val="090E2F35"/>
    <w:rsid w:val="091B4FFA"/>
    <w:rsid w:val="092173F4"/>
    <w:rsid w:val="09262DE9"/>
    <w:rsid w:val="092F7300"/>
    <w:rsid w:val="09306537"/>
    <w:rsid w:val="09355076"/>
    <w:rsid w:val="09392119"/>
    <w:rsid w:val="09402C11"/>
    <w:rsid w:val="09445E95"/>
    <w:rsid w:val="094C1D4E"/>
    <w:rsid w:val="09543B3B"/>
    <w:rsid w:val="09600FBD"/>
    <w:rsid w:val="09664528"/>
    <w:rsid w:val="0972595C"/>
    <w:rsid w:val="098143BC"/>
    <w:rsid w:val="098500F1"/>
    <w:rsid w:val="0992510E"/>
    <w:rsid w:val="09B33AE4"/>
    <w:rsid w:val="09BD407A"/>
    <w:rsid w:val="09BF125C"/>
    <w:rsid w:val="09C12CF5"/>
    <w:rsid w:val="09D948FE"/>
    <w:rsid w:val="09DA0E26"/>
    <w:rsid w:val="09DB6437"/>
    <w:rsid w:val="09E55691"/>
    <w:rsid w:val="09F67CD5"/>
    <w:rsid w:val="0A054821"/>
    <w:rsid w:val="0A077A43"/>
    <w:rsid w:val="0A0835C8"/>
    <w:rsid w:val="0A145721"/>
    <w:rsid w:val="0A355EAA"/>
    <w:rsid w:val="0A3708FF"/>
    <w:rsid w:val="0A3B01F9"/>
    <w:rsid w:val="0A3F0488"/>
    <w:rsid w:val="0A402A36"/>
    <w:rsid w:val="0A4236A3"/>
    <w:rsid w:val="0A4E7EF5"/>
    <w:rsid w:val="0A596130"/>
    <w:rsid w:val="0A627392"/>
    <w:rsid w:val="0A646846"/>
    <w:rsid w:val="0A6B3DAF"/>
    <w:rsid w:val="0A7B4D83"/>
    <w:rsid w:val="0A817CBD"/>
    <w:rsid w:val="0A8251CA"/>
    <w:rsid w:val="0A8828AB"/>
    <w:rsid w:val="0A927DC1"/>
    <w:rsid w:val="0A951165"/>
    <w:rsid w:val="0A9B4F7F"/>
    <w:rsid w:val="0A9C263A"/>
    <w:rsid w:val="0A9D54CD"/>
    <w:rsid w:val="0A9E3D3D"/>
    <w:rsid w:val="0AA077E0"/>
    <w:rsid w:val="0AA5327C"/>
    <w:rsid w:val="0AC01F88"/>
    <w:rsid w:val="0AC0212C"/>
    <w:rsid w:val="0AC3085F"/>
    <w:rsid w:val="0AD542C1"/>
    <w:rsid w:val="0ADD5A20"/>
    <w:rsid w:val="0AE10FD9"/>
    <w:rsid w:val="0AF13898"/>
    <w:rsid w:val="0AFB3228"/>
    <w:rsid w:val="0AFC6C07"/>
    <w:rsid w:val="0AFD25E6"/>
    <w:rsid w:val="0AFF6A66"/>
    <w:rsid w:val="0B0130D7"/>
    <w:rsid w:val="0B0250FD"/>
    <w:rsid w:val="0B0F025C"/>
    <w:rsid w:val="0B1A6333"/>
    <w:rsid w:val="0B267BFC"/>
    <w:rsid w:val="0B2713F4"/>
    <w:rsid w:val="0B334367"/>
    <w:rsid w:val="0B3B1BC1"/>
    <w:rsid w:val="0B3B5196"/>
    <w:rsid w:val="0B3D701F"/>
    <w:rsid w:val="0B3E7DD7"/>
    <w:rsid w:val="0B491629"/>
    <w:rsid w:val="0B4B40F9"/>
    <w:rsid w:val="0B554398"/>
    <w:rsid w:val="0B561995"/>
    <w:rsid w:val="0B5C2C2A"/>
    <w:rsid w:val="0B6148D2"/>
    <w:rsid w:val="0B665E0A"/>
    <w:rsid w:val="0B680DC4"/>
    <w:rsid w:val="0B7C0E60"/>
    <w:rsid w:val="0B847B39"/>
    <w:rsid w:val="0B987E20"/>
    <w:rsid w:val="0B9E71DF"/>
    <w:rsid w:val="0BA65BCD"/>
    <w:rsid w:val="0BAD5CC5"/>
    <w:rsid w:val="0BAD5EDC"/>
    <w:rsid w:val="0BAF59B9"/>
    <w:rsid w:val="0BB524B8"/>
    <w:rsid w:val="0BB756DF"/>
    <w:rsid w:val="0BC63DB2"/>
    <w:rsid w:val="0BCC4043"/>
    <w:rsid w:val="0BCC4B6A"/>
    <w:rsid w:val="0BE2291A"/>
    <w:rsid w:val="0C07043D"/>
    <w:rsid w:val="0C1E494F"/>
    <w:rsid w:val="0C3427D0"/>
    <w:rsid w:val="0C43327D"/>
    <w:rsid w:val="0C4426AF"/>
    <w:rsid w:val="0C453647"/>
    <w:rsid w:val="0C4577EC"/>
    <w:rsid w:val="0C4F3B0E"/>
    <w:rsid w:val="0C4F7881"/>
    <w:rsid w:val="0C5A77EA"/>
    <w:rsid w:val="0C5C6396"/>
    <w:rsid w:val="0C63431B"/>
    <w:rsid w:val="0C650A20"/>
    <w:rsid w:val="0C690EFA"/>
    <w:rsid w:val="0C6E11B8"/>
    <w:rsid w:val="0C723CD1"/>
    <w:rsid w:val="0C7C294A"/>
    <w:rsid w:val="0C825F28"/>
    <w:rsid w:val="0C89028B"/>
    <w:rsid w:val="0C8B63A3"/>
    <w:rsid w:val="0C9B2509"/>
    <w:rsid w:val="0CB94808"/>
    <w:rsid w:val="0CC146A9"/>
    <w:rsid w:val="0CC37BC2"/>
    <w:rsid w:val="0CD87ABE"/>
    <w:rsid w:val="0CE26C42"/>
    <w:rsid w:val="0CE632FF"/>
    <w:rsid w:val="0CE76B48"/>
    <w:rsid w:val="0CEB5DBE"/>
    <w:rsid w:val="0CFB523A"/>
    <w:rsid w:val="0D074D4A"/>
    <w:rsid w:val="0D0A3371"/>
    <w:rsid w:val="0D0C5764"/>
    <w:rsid w:val="0D181B98"/>
    <w:rsid w:val="0D1B1E9C"/>
    <w:rsid w:val="0D1C2E6E"/>
    <w:rsid w:val="0D4B44A1"/>
    <w:rsid w:val="0D6811B4"/>
    <w:rsid w:val="0D6E2620"/>
    <w:rsid w:val="0D704E21"/>
    <w:rsid w:val="0D7F48FE"/>
    <w:rsid w:val="0D883C88"/>
    <w:rsid w:val="0D8A6002"/>
    <w:rsid w:val="0D9074CF"/>
    <w:rsid w:val="0D936E72"/>
    <w:rsid w:val="0D966BF7"/>
    <w:rsid w:val="0DB54F84"/>
    <w:rsid w:val="0DB84465"/>
    <w:rsid w:val="0DCC3AE8"/>
    <w:rsid w:val="0DD87842"/>
    <w:rsid w:val="0DDB2C34"/>
    <w:rsid w:val="0DDE2885"/>
    <w:rsid w:val="0DEF012A"/>
    <w:rsid w:val="0DF202E1"/>
    <w:rsid w:val="0DF53CE3"/>
    <w:rsid w:val="0E0961C5"/>
    <w:rsid w:val="0E0C6AA6"/>
    <w:rsid w:val="0E147898"/>
    <w:rsid w:val="0E264DDB"/>
    <w:rsid w:val="0E2F216B"/>
    <w:rsid w:val="0E327317"/>
    <w:rsid w:val="0E3352C6"/>
    <w:rsid w:val="0E3A5EE2"/>
    <w:rsid w:val="0E542F3B"/>
    <w:rsid w:val="0E5757F7"/>
    <w:rsid w:val="0E591BF0"/>
    <w:rsid w:val="0E6271DF"/>
    <w:rsid w:val="0E6438B9"/>
    <w:rsid w:val="0E78367D"/>
    <w:rsid w:val="0E81568A"/>
    <w:rsid w:val="0E903E3B"/>
    <w:rsid w:val="0E942250"/>
    <w:rsid w:val="0E963344"/>
    <w:rsid w:val="0E9E6E00"/>
    <w:rsid w:val="0EA40C1C"/>
    <w:rsid w:val="0EAA759E"/>
    <w:rsid w:val="0EAF381F"/>
    <w:rsid w:val="0EB72E4B"/>
    <w:rsid w:val="0ECE6156"/>
    <w:rsid w:val="0EEC6F1D"/>
    <w:rsid w:val="0F0621F6"/>
    <w:rsid w:val="0F103291"/>
    <w:rsid w:val="0F15660A"/>
    <w:rsid w:val="0F1D0EA6"/>
    <w:rsid w:val="0F1D498B"/>
    <w:rsid w:val="0F22242C"/>
    <w:rsid w:val="0F337178"/>
    <w:rsid w:val="0F3B15FC"/>
    <w:rsid w:val="0F41022A"/>
    <w:rsid w:val="0F56743B"/>
    <w:rsid w:val="0F60682C"/>
    <w:rsid w:val="0F661944"/>
    <w:rsid w:val="0F6763D9"/>
    <w:rsid w:val="0F715B2B"/>
    <w:rsid w:val="0F744211"/>
    <w:rsid w:val="0F764270"/>
    <w:rsid w:val="0F7F273F"/>
    <w:rsid w:val="0F7F7919"/>
    <w:rsid w:val="0F8418ED"/>
    <w:rsid w:val="0F8B3A90"/>
    <w:rsid w:val="0F957B47"/>
    <w:rsid w:val="0F98796C"/>
    <w:rsid w:val="0F9F6FA4"/>
    <w:rsid w:val="0FA20284"/>
    <w:rsid w:val="0FA65D5C"/>
    <w:rsid w:val="0FAA75F1"/>
    <w:rsid w:val="0FAD33DA"/>
    <w:rsid w:val="0FAD71D4"/>
    <w:rsid w:val="0FBE2A42"/>
    <w:rsid w:val="0FC17CCE"/>
    <w:rsid w:val="0FC424B9"/>
    <w:rsid w:val="0FCB3854"/>
    <w:rsid w:val="0FCC3C6A"/>
    <w:rsid w:val="0FD576BA"/>
    <w:rsid w:val="0FD70565"/>
    <w:rsid w:val="0FE928D1"/>
    <w:rsid w:val="0FEC680C"/>
    <w:rsid w:val="0FFD688F"/>
    <w:rsid w:val="0FFF0BF3"/>
    <w:rsid w:val="10007AD6"/>
    <w:rsid w:val="101B1E8A"/>
    <w:rsid w:val="101C4A03"/>
    <w:rsid w:val="101D0C86"/>
    <w:rsid w:val="10320BC0"/>
    <w:rsid w:val="104A023B"/>
    <w:rsid w:val="104B6A1B"/>
    <w:rsid w:val="10501493"/>
    <w:rsid w:val="10505F3B"/>
    <w:rsid w:val="10677613"/>
    <w:rsid w:val="106D2686"/>
    <w:rsid w:val="107407B6"/>
    <w:rsid w:val="107C33BD"/>
    <w:rsid w:val="107C3E2C"/>
    <w:rsid w:val="107D41AE"/>
    <w:rsid w:val="108C2479"/>
    <w:rsid w:val="10B3132B"/>
    <w:rsid w:val="10C715C5"/>
    <w:rsid w:val="10D335EF"/>
    <w:rsid w:val="10E255A6"/>
    <w:rsid w:val="10E746EA"/>
    <w:rsid w:val="10E83FE0"/>
    <w:rsid w:val="10EC3168"/>
    <w:rsid w:val="10F02A44"/>
    <w:rsid w:val="10F52718"/>
    <w:rsid w:val="10F70AE6"/>
    <w:rsid w:val="10F96582"/>
    <w:rsid w:val="11123EF8"/>
    <w:rsid w:val="11124F2E"/>
    <w:rsid w:val="11125358"/>
    <w:rsid w:val="111F38A5"/>
    <w:rsid w:val="111F6CBE"/>
    <w:rsid w:val="112D2A42"/>
    <w:rsid w:val="113A22DB"/>
    <w:rsid w:val="114028DC"/>
    <w:rsid w:val="11441C15"/>
    <w:rsid w:val="11583891"/>
    <w:rsid w:val="1159252B"/>
    <w:rsid w:val="1160765D"/>
    <w:rsid w:val="116F1EB0"/>
    <w:rsid w:val="11727495"/>
    <w:rsid w:val="117A242E"/>
    <w:rsid w:val="117B1D6A"/>
    <w:rsid w:val="117C2D9D"/>
    <w:rsid w:val="117F159E"/>
    <w:rsid w:val="11821DC9"/>
    <w:rsid w:val="11824A0F"/>
    <w:rsid w:val="11897A08"/>
    <w:rsid w:val="11921373"/>
    <w:rsid w:val="119A72EE"/>
    <w:rsid w:val="119D7849"/>
    <w:rsid w:val="11A615EE"/>
    <w:rsid w:val="11A658F4"/>
    <w:rsid w:val="11B16FA5"/>
    <w:rsid w:val="11B565C3"/>
    <w:rsid w:val="11B91A57"/>
    <w:rsid w:val="11BA3FAE"/>
    <w:rsid w:val="11C67B8F"/>
    <w:rsid w:val="11CE730E"/>
    <w:rsid w:val="11D815C4"/>
    <w:rsid w:val="11D85BD5"/>
    <w:rsid w:val="11E57D4F"/>
    <w:rsid w:val="11EE7275"/>
    <w:rsid w:val="11F40833"/>
    <w:rsid w:val="11F92DAB"/>
    <w:rsid w:val="11FB6DE4"/>
    <w:rsid w:val="11FC38D5"/>
    <w:rsid w:val="11FD37F5"/>
    <w:rsid w:val="120F1E38"/>
    <w:rsid w:val="1210682D"/>
    <w:rsid w:val="122215D3"/>
    <w:rsid w:val="122510AD"/>
    <w:rsid w:val="122F0F93"/>
    <w:rsid w:val="123A05DB"/>
    <w:rsid w:val="124240B9"/>
    <w:rsid w:val="12491684"/>
    <w:rsid w:val="124D0988"/>
    <w:rsid w:val="124E44B4"/>
    <w:rsid w:val="126532DD"/>
    <w:rsid w:val="12680E73"/>
    <w:rsid w:val="126A6876"/>
    <w:rsid w:val="12763466"/>
    <w:rsid w:val="127C144F"/>
    <w:rsid w:val="127E5AA6"/>
    <w:rsid w:val="12811F99"/>
    <w:rsid w:val="128B2749"/>
    <w:rsid w:val="128E1E81"/>
    <w:rsid w:val="129019B5"/>
    <w:rsid w:val="129811DB"/>
    <w:rsid w:val="129937EE"/>
    <w:rsid w:val="129E6282"/>
    <w:rsid w:val="129F3A3A"/>
    <w:rsid w:val="12AA7237"/>
    <w:rsid w:val="12AB7A32"/>
    <w:rsid w:val="12B97155"/>
    <w:rsid w:val="12BB6535"/>
    <w:rsid w:val="12C7312B"/>
    <w:rsid w:val="12D22971"/>
    <w:rsid w:val="12D469A6"/>
    <w:rsid w:val="12D85654"/>
    <w:rsid w:val="12DF4A87"/>
    <w:rsid w:val="12E265EC"/>
    <w:rsid w:val="12E706B5"/>
    <w:rsid w:val="12EE5106"/>
    <w:rsid w:val="12F777F2"/>
    <w:rsid w:val="1307341C"/>
    <w:rsid w:val="130C40FE"/>
    <w:rsid w:val="130E3629"/>
    <w:rsid w:val="13125197"/>
    <w:rsid w:val="131B39DD"/>
    <w:rsid w:val="13283BA4"/>
    <w:rsid w:val="13332F77"/>
    <w:rsid w:val="13334E1C"/>
    <w:rsid w:val="13346EE4"/>
    <w:rsid w:val="13384952"/>
    <w:rsid w:val="1355107F"/>
    <w:rsid w:val="135D4D2E"/>
    <w:rsid w:val="1366638D"/>
    <w:rsid w:val="1369011A"/>
    <w:rsid w:val="136D76E8"/>
    <w:rsid w:val="137266E0"/>
    <w:rsid w:val="13811975"/>
    <w:rsid w:val="138559AC"/>
    <w:rsid w:val="138F3C22"/>
    <w:rsid w:val="139D3156"/>
    <w:rsid w:val="13A50F41"/>
    <w:rsid w:val="13A825CD"/>
    <w:rsid w:val="13AA5FA1"/>
    <w:rsid w:val="13C20262"/>
    <w:rsid w:val="13D024B3"/>
    <w:rsid w:val="13D115EF"/>
    <w:rsid w:val="13D86A45"/>
    <w:rsid w:val="13DD445E"/>
    <w:rsid w:val="13DE7C83"/>
    <w:rsid w:val="13E20C66"/>
    <w:rsid w:val="13FD073F"/>
    <w:rsid w:val="14001419"/>
    <w:rsid w:val="140171D9"/>
    <w:rsid w:val="1405674E"/>
    <w:rsid w:val="140815BB"/>
    <w:rsid w:val="14087FC1"/>
    <w:rsid w:val="14095006"/>
    <w:rsid w:val="141C71BE"/>
    <w:rsid w:val="141E583B"/>
    <w:rsid w:val="1424615D"/>
    <w:rsid w:val="142C143A"/>
    <w:rsid w:val="142E1345"/>
    <w:rsid w:val="14355342"/>
    <w:rsid w:val="144C1C02"/>
    <w:rsid w:val="144D63F0"/>
    <w:rsid w:val="145103FA"/>
    <w:rsid w:val="145F07C7"/>
    <w:rsid w:val="14601908"/>
    <w:rsid w:val="14632D00"/>
    <w:rsid w:val="146B69A8"/>
    <w:rsid w:val="146C5189"/>
    <w:rsid w:val="146F1089"/>
    <w:rsid w:val="14816B50"/>
    <w:rsid w:val="148313F4"/>
    <w:rsid w:val="1485665F"/>
    <w:rsid w:val="14934F1A"/>
    <w:rsid w:val="149559C4"/>
    <w:rsid w:val="149D71D6"/>
    <w:rsid w:val="149E3770"/>
    <w:rsid w:val="14A13FBC"/>
    <w:rsid w:val="14A67171"/>
    <w:rsid w:val="14AA71CB"/>
    <w:rsid w:val="14AC0C32"/>
    <w:rsid w:val="14B2463E"/>
    <w:rsid w:val="14B57287"/>
    <w:rsid w:val="14B602D5"/>
    <w:rsid w:val="14C45576"/>
    <w:rsid w:val="14C76D6C"/>
    <w:rsid w:val="14CE33C4"/>
    <w:rsid w:val="14D60E60"/>
    <w:rsid w:val="14DA3DA1"/>
    <w:rsid w:val="14E60B42"/>
    <w:rsid w:val="14E75E9B"/>
    <w:rsid w:val="14EA1C4D"/>
    <w:rsid w:val="14EF0267"/>
    <w:rsid w:val="14FB736A"/>
    <w:rsid w:val="150222BF"/>
    <w:rsid w:val="150F7C33"/>
    <w:rsid w:val="151178FC"/>
    <w:rsid w:val="1515004B"/>
    <w:rsid w:val="151B7C99"/>
    <w:rsid w:val="15207BBA"/>
    <w:rsid w:val="15222DA1"/>
    <w:rsid w:val="15256B65"/>
    <w:rsid w:val="152F4E1B"/>
    <w:rsid w:val="154806E1"/>
    <w:rsid w:val="154D342A"/>
    <w:rsid w:val="15581ED5"/>
    <w:rsid w:val="1559587F"/>
    <w:rsid w:val="155E7DEC"/>
    <w:rsid w:val="15740334"/>
    <w:rsid w:val="1574662E"/>
    <w:rsid w:val="15751882"/>
    <w:rsid w:val="1575191B"/>
    <w:rsid w:val="157818C6"/>
    <w:rsid w:val="159F73BB"/>
    <w:rsid w:val="15B03F28"/>
    <w:rsid w:val="15C15E25"/>
    <w:rsid w:val="15C42571"/>
    <w:rsid w:val="15E30A80"/>
    <w:rsid w:val="15F21B9E"/>
    <w:rsid w:val="15FD2FA2"/>
    <w:rsid w:val="16021A7C"/>
    <w:rsid w:val="1608480E"/>
    <w:rsid w:val="161C1C58"/>
    <w:rsid w:val="162B27CD"/>
    <w:rsid w:val="162D7415"/>
    <w:rsid w:val="162F7556"/>
    <w:rsid w:val="16347AD6"/>
    <w:rsid w:val="163814FD"/>
    <w:rsid w:val="163A6AD4"/>
    <w:rsid w:val="16413A3A"/>
    <w:rsid w:val="1644500C"/>
    <w:rsid w:val="16461A95"/>
    <w:rsid w:val="16594F06"/>
    <w:rsid w:val="165A38E6"/>
    <w:rsid w:val="166C5DB6"/>
    <w:rsid w:val="166F5E80"/>
    <w:rsid w:val="16751E7F"/>
    <w:rsid w:val="16766A92"/>
    <w:rsid w:val="167A52A9"/>
    <w:rsid w:val="167B20D8"/>
    <w:rsid w:val="167B7B40"/>
    <w:rsid w:val="167C6594"/>
    <w:rsid w:val="16833ACA"/>
    <w:rsid w:val="16866882"/>
    <w:rsid w:val="16872167"/>
    <w:rsid w:val="16895E32"/>
    <w:rsid w:val="168F3273"/>
    <w:rsid w:val="168F69F2"/>
    <w:rsid w:val="169865AE"/>
    <w:rsid w:val="169C7FDE"/>
    <w:rsid w:val="16A4319F"/>
    <w:rsid w:val="16AC4DDB"/>
    <w:rsid w:val="16AE2FE3"/>
    <w:rsid w:val="16B23908"/>
    <w:rsid w:val="16B4400E"/>
    <w:rsid w:val="16C16240"/>
    <w:rsid w:val="16C71372"/>
    <w:rsid w:val="16C739DF"/>
    <w:rsid w:val="16C86CDB"/>
    <w:rsid w:val="16DD3B26"/>
    <w:rsid w:val="16E73506"/>
    <w:rsid w:val="16EB6E00"/>
    <w:rsid w:val="16EE7649"/>
    <w:rsid w:val="16F04615"/>
    <w:rsid w:val="16FD2447"/>
    <w:rsid w:val="17031772"/>
    <w:rsid w:val="1712339A"/>
    <w:rsid w:val="171E63FC"/>
    <w:rsid w:val="1722504D"/>
    <w:rsid w:val="17306175"/>
    <w:rsid w:val="1738730F"/>
    <w:rsid w:val="17416499"/>
    <w:rsid w:val="17481B81"/>
    <w:rsid w:val="17481E8B"/>
    <w:rsid w:val="174A69B0"/>
    <w:rsid w:val="175007ED"/>
    <w:rsid w:val="175D7538"/>
    <w:rsid w:val="17605E9B"/>
    <w:rsid w:val="17611CB8"/>
    <w:rsid w:val="176B45C6"/>
    <w:rsid w:val="176C447F"/>
    <w:rsid w:val="17850F99"/>
    <w:rsid w:val="17875303"/>
    <w:rsid w:val="178815C4"/>
    <w:rsid w:val="17891C0B"/>
    <w:rsid w:val="178F2F4E"/>
    <w:rsid w:val="1793626E"/>
    <w:rsid w:val="17991452"/>
    <w:rsid w:val="17A875F5"/>
    <w:rsid w:val="17B5256D"/>
    <w:rsid w:val="17B52BE2"/>
    <w:rsid w:val="17B92501"/>
    <w:rsid w:val="17C809DF"/>
    <w:rsid w:val="17DE2FB7"/>
    <w:rsid w:val="17E47B20"/>
    <w:rsid w:val="17E65848"/>
    <w:rsid w:val="17E66DD8"/>
    <w:rsid w:val="17E84839"/>
    <w:rsid w:val="17EE1403"/>
    <w:rsid w:val="17F25234"/>
    <w:rsid w:val="17F33DC6"/>
    <w:rsid w:val="17F45149"/>
    <w:rsid w:val="17FD061B"/>
    <w:rsid w:val="17FD20FD"/>
    <w:rsid w:val="17FF6314"/>
    <w:rsid w:val="18005F41"/>
    <w:rsid w:val="18025414"/>
    <w:rsid w:val="18171305"/>
    <w:rsid w:val="1820454C"/>
    <w:rsid w:val="1829280B"/>
    <w:rsid w:val="18334194"/>
    <w:rsid w:val="183E1D37"/>
    <w:rsid w:val="1840126B"/>
    <w:rsid w:val="1846724A"/>
    <w:rsid w:val="184A22E6"/>
    <w:rsid w:val="184D0787"/>
    <w:rsid w:val="185D1883"/>
    <w:rsid w:val="185E3AA1"/>
    <w:rsid w:val="185F15CF"/>
    <w:rsid w:val="18717152"/>
    <w:rsid w:val="18812331"/>
    <w:rsid w:val="18816F1C"/>
    <w:rsid w:val="18847050"/>
    <w:rsid w:val="18853F3E"/>
    <w:rsid w:val="188F3639"/>
    <w:rsid w:val="189252B6"/>
    <w:rsid w:val="18956393"/>
    <w:rsid w:val="189C5943"/>
    <w:rsid w:val="18A8582C"/>
    <w:rsid w:val="18B50543"/>
    <w:rsid w:val="18CA40C3"/>
    <w:rsid w:val="18CD7A02"/>
    <w:rsid w:val="18D904AC"/>
    <w:rsid w:val="18DC1AEF"/>
    <w:rsid w:val="18DF5689"/>
    <w:rsid w:val="18F74015"/>
    <w:rsid w:val="19001FFC"/>
    <w:rsid w:val="19083894"/>
    <w:rsid w:val="190E2B4A"/>
    <w:rsid w:val="19256D7A"/>
    <w:rsid w:val="193275C2"/>
    <w:rsid w:val="19342CF4"/>
    <w:rsid w:val="193A500F"/>
    <w:rsid w:val="193B3E86"/>
    <w:rsid w:val="19463A75"/>
    <w:rsid w:val="194D2005"/>
    <w:rsid w:val="19520B39"/>
    <w:rsid w:val="196237A5"/>
    <w:rsid w:val="19655A52"/>
    <w:rsid w:val="19663168"/>
    <w:rsid w:val="197724BD"/>
    <w:rsid w:val="19786B0A"/>
    <w:rsid w:val="198A41A1"/>
    <w:rsid w:val="199A2059"/>
    <w:rsid w:val="19AE76C7"/>
    <w:rsid w:val="19B46E10"/>
    <w:rsid w:val="19C456C1"/>
    <w:rsid w:val="19E24986"/>
    <w:rsid w:val="19E256B5"/>
    <w:rsid w:val="19E54655"/>
    <w:rsid w:val="19F061A1"/>
    <w:rsid w:val="19F81E45"/>
    <w:rsid w:val="1A054259"/>
    <w:rsid w:val="1A081816"/>
    <w:rsid w:val="1A0C5680"/>
    <w:rsid w:val="1A165171"/>
    <w:rsid w:val="1A3068A4"/>
    <w:rsid w:val="1A410451"/>
    <w:rsid w:val="1A4858FF"/>
    <w:rsid w:val="1A4C698A"/>
    <w:rsid w:val="1A4D778D"/>
    <w:rsid w:val="1A5D5219"/>
    <w:rsid w:val="1A5E4B5A"/>
    <w:rsid w:val="1A672B1C"/>
    <w:rsid w:val="1A7070DD"/>
    <w:rsid w:val="1A805F1C"/>
    <w:rsid w:val="1A8301C0"/>
    <w:rsid w:val="1A872248"/>
    <w:rsid w:val="1A8824C5"/>
    <w:rsid w:val="1A9B2279"/>
    <w:rsid w:val="1A9D1677"/>
    <w:rsid w:val="1A9E6232"/>
    <w:rsid w:val="1AA57BA7"/>
    <w:rsid w:val="1AA74D3D"/>
    <w:rsid w:val="1AB34DB4"/>
    <w:rsid w:val="1AB613FD"/>
    <w:rsid w:val="1AB64B19"/>
    <w:rsid w:val="1AB73747"/>
    <w:rsid w:val="1AC03C10"/>
    <w:rsid w:val="1AC11AFF"/>
    <w:rsid w:val="1ACF5EB8"/>
    <w:rsid w:val="1AD26086"/>
    <w:rsid w:val="1ADD5ACE"/>
    <w:rsid w:val="1AE013F8"/>
    <w:rsid w:val="1AE8570C"/>
    <w:rsid w:val="1AF7297B"/>
    <w:rsid w:val="1AF97DCC"/>
    <w:rsid w:val="1AFB06A3"/>
    <w:rsid w:val="1B062896"/>
    <w:rsid w:val="1B0F19AE"/>
    <w:rsid w:val="1B141BBC"/>
    <w:rsid w:val="1B2160BB"/>
    <w:rsid w:val="1B3637AD"/>
    <w:rsid w:val="1B3E0DB5"/>
    <w:rsid w:val="1B454C94"/>
    <w:rsid w:val="1B454E69"/>
    <w:rsid w:val="1B5C1145"/>
    <w:rsid w:val="1B5D79CB"/>
    <w:rsid w:val="1B6B769D"/>
    <w:rsid w:val="1B6C0DF0"/>
    <w:rsid w:val="1B7F6005"/>
    <w:rsid w:val="1B874E63"/>
    <w:rsid w:val="1B9C269A"/>
    <w:rsid w:val="1B9E64C5"/>
    <w:rsid w:val="1B9E6D4C"/>
    <w:rsid w:val="1BB07CEA"/>
    <w:rsid w:val="1BBD43BA"/>
    <w:rsid w:val="1BC01115"/>
    <w:rsid w:val="1BC44015"/>
    <w:rsid w:val="1BC96DA5"/>
    <w:rsid w:val="1BCA6284"/>
    <w:rsid w:val="1BCC6C47"/>
    <w:rsid w:val="1BE32C74"/>
    <w:rsid w:val="1BF72906"/>
    <w:rsid w:val="1BFB481C"/>
    <w:rsid w:val="1BFE5FF9"/>
    <w:rsid w:val="1BFE7B2D"/>
    <w:rsid w:val="1C013494"/>
    <w:rsid w:val="1C053414"/>
    <w:rsid w:val="1C132CB9"/>
    <w:rsid w:val="1C1642A1"/>
    <w:rsid w:val="1C2146C5"/>
    <w:rsid w:val="1C240174"/>
    <w:rsid w:val="1C273D33"/>
    <w:rsid w:val="1C4032AB"/>
    <w:rsid w:val="1C4672ED"/>
    <w:rsid w:val="1C467AB6"/>
    <w:rsid w:val="1C591347"/>
    <w:rsid w:val="1C6277A9"/>
    <w:rsid w:val="1C750818"/>
    <w:rsid w:val="1C7F54CE"/>
    <w:rsid w:val="1C7F743F"/>
    <w:rsid w:val="1C8C4AA9"/>
    <w:rsid w:val="1C8C604B"/>
    <w:rsid w:val="1C8F53D9"/>
    <w:rsid w:val="1C92160B"/>
    <w:rsid w:val="1C973EEF"/>
    <w:rsid w:val="1CA03243"/>
    <w:rsid w:val="1CAC112E"/>
    <w:rsid w:val="1CAF5DB2"/>
    <w:rsid w:val="1CB40DF1"/>
    <w:rsid w:val="1CB86812"/>
    <w:rsid w:val="1CC11084"/>
    <w:rsid w:val="1CC71DD3"/>
    <w:rsid w:val="1CCC26CA"/>
    <w:rsid w:val="1CD2156B"/>
    <w:rsid w:val="1CD41743"/>
    <w:rsid w:val="1CD44D3D"/>
    <w:rsid w:val="1CD77F43"/>
    <w:rsid w:val="1CE45EF5"/>
    <w:rsid w:val="1CE615C9"/>
    <w:rsid w:val="1CED1E7E"/>
    <w:rsid w:val="1D037029"/>
    <w:rsid w:val="1D0A6B98"/>
    <w:rsid w:val="1D227612"/>
    <w:rsid w:val="1D3305FF"/>
    <w:rsid w:val="1D395282"/>
    <w:rsid w:val="1D4251BA"/>
    <w:rsid w:val="1D5B2FF2"/>
    <w:rsid w:val="1D5F5386"/>
    <w:rsid w:val="1D70348C"/>
    <w:rsid w:val="1D7072CE"/>
    <w:rsid w:val="1D794A16"/>
    <w:rsid w:val="1D80759A"/>
    <w:rsid w:val="1D8A021B"/>
    <w:rsid w:val="1D9E30A9"/>
    <w:rsid w:val="1DAB1006"/>
    <w:rsid w:val="1DAB2A0A"/>
    <w:rsid w:val="1DB33C11"/>
    <w:rsid w:val="1DC65562"/>
    <w:rsid w:val="1DD34749"/>
    <w:rsid w:val="1DDD201B"/>
    <w:rsid w:val="1DE94164"/>
    <w:rsid w:val="1DEE1B11"/>
    <w:rsid w:val="1E105A20"/>
    <w:rsid w:val="1E1607AF"/>
    <w:rsid w:val="1E164B52"/>
    <w:rsid w:val="1E26583C"/>
    <w:rsid w:val="1E273844"/>
    <w:rsid w:val="1E2F243E"/>
    <w:rsid w:val="1E3B4F6B"/>
    <w:rsid w:val="1E455D19"/>
    <w:rsid w:val="1E595CAF"/>
    <w:rsid w:val="1E5C31E8"/>
    <w:rsid w:val="1E6607F9"/>
    <w:rsid w:val="1E691070"/>
    <w:rsid w:val="1E7E6BFD"/>
    <w:rsid w:val="1E805396"/>
    <w:rsid w:val="1E821B53"/>
    <w:rsid w:val="1E884F62"/>
    <w:rsid w:val="1E8D685D"/>
    <w:rsid w:val="1E9D6342"/>
    <w:rsid w:val="1E9D6D15"/>
    <w:rsid w:val="1EA7402F"/>
    <w:rsid w:val="1EA77730"/>
    <w:rsid w:val="1EA80D43"/>
    <w:rsid w:val="1EBC3647"/>
    <w:rsid w:val="1EBD1EAD"/>
    <w:rsid w:val="1EC36E9D"/>
    <w:rsid w:val="1EE25FDD"/>
    <w:rsid w:val="1EEF7878"/>
    <w:rsid w:val="1EF5103F"/>
    <w:rsid w:val="1EF86BDC"/>
    <w:rsid w:val="1EFF621F"/>
    <w:rsid w:val="1F001DEB"/>
    <w:rsid w:val="1F090F9B"/>
    <w:rsid w:val="1F0A0088"/>
    <w:rsid w:val="1F0E5D6B"/>
    <w:rsid w:val="1F0F2943"/>
    <w:rsid w:val="1F1420D0"/>
    <w:rsid w:val="1F194C88"/>
    <w:rsid w:val="1F323C57"/>
    <w:rsid w:val="1F343977"/>
    <w:rsid w:val="1F3E662A"/>
    <w:rsid w:val="1F4D4715"/>
    <w:rsid w:val="1F4F2219"/>
    <w:rsid w:val="1F614D01"/>
    <w:rsid w:val="1F721405"/>
    <w:rsid w:val="1F77486F"/>
    <w:rsid w:val="1F935819"/>
    <w:rsid w:val="1FA036A3"/>
    <w:rsid w:val="1FA628A2"/>
    <w:rsid w:val="1FA6556D"/>
    <w:rsid w:val="1FAF2571"/>
    <w:rsid w:val="1FB33036"/>
    <w:rsid w:val="1FC55EDA"/>
    <w:rsid w:val="1FC658C9"/>
    <w:rsid w:val="1FCE593C"/>
    <w:rsid w:val="1FE312AC"/>
    <w:rsid w:val="1FEC5915"/>
    <w:rsid w:val="1FED32EF"/>
    <w:rsid w:val="1FF82884"/>
    <w:rsid w:val="201E6D7C"/>
    <w:rsid w:val="20446081"/>
    <w:rsid w:val="204852AD"/>
    <w:rsid w:val="204A5E48"/>
    <w:rsid w:val="204A6449"/>
    <w:rsid w:val="204E6676"/>
    <w:rsid w:val="20580C17"/>
    <w:rsid w:val="20595924"/>
    <w:rsid w:val="205A5AA0"/>
    <w:rsid w:val="206408C4"/>
    <w:rsid w:val="20773A28"/>
    <w:rsid w:val="208574F4"/>
    <w:rsid w:val="20872047"/>
    <w:rsid w:val="208C4449"/>
    <w:rsid w:val="208F6BAF"/>
    <w:rsid w:val="209414DB"/>
    <w:rsid w:val="20A462BA"/>
    <w:rsid w:val="20BF2AAC"/>
    <w:rsid w:val="20C849C7"/>
    <w:rsid w:val="20DF66D2"/>
    <w:rsid w:val="20EC3F2E"/>
    <w:rsid w:val="20EC7C3E"/>
    <w:rsid w:val="20F07537"/>
    <w:rsid w:val="20FA77BC"/>
    <w:rsid w:val="210548E9"/>
    <w:rsid w:val="210D14B3"/>
    <w:rsid w:val="21124D15"/>
    <w:rsid w:val="21164A79"/>
    <w:rsid w:val="211C7DEA"/>
    <w:rsid w:val="213B13E1"/>
    <w:rsid w:val="213E7119"/>
    <w:rsid w:val="21401C29"/>
    <w:rsid w:val="21530058"/>
    <w:rsid w:val="21567D84"/>
    <w:rsid w:val="216608E3"/>
    <w:rsid w:val="21675117"/>
    <w:rsid w:val="21810744"/>
    <w:rsid w:val="218D6EF5"/>
    <w:rsid w:val="2195668B"/>
    <w:rsid w:val="219F69EC"/>
    <w:rsid w:val="21A130EA"/>
    <w:rsid w:val="21B405F8"/>
    <w:rsid w:val="21B5366A"/>
    <w:rsid w:val="21C267BF"/>
    <w:rsid w:val="21C67C42"/>
    <w:rsid w:val="21CB6217"/>
    <w:rsid w:val="21CD6BCD"/>
    <w:rsid w:val="21CE6067"/>
    <w:rsid w:val="21CF439A"/>
    <w:rsid w:val="21D824E4"/>
    <w:rsid w:val="21E35D49"/>
    <w:rsid w:val="21F00127"/>
    <w:rsid w:val="21F7745C"/>
    <w:rsid w:val="22035C75"/>
    <w:rsid w:val="221D2FA3"/>
    <w:rsid w:val="2226635F"/>
    <w:rsid w:val="222D4F0B"/>
    <w:rsid w:val="223A29CF"/>
    <w:rsid w:val="223D7545"/>
    <w:rsid w:val="22411D14"/>
    <w:rsid w:val="22423BE1"/>
    <w:rsid w:val="22454449"/>
    <w:rsid w:val="22500810"/>
    <w:rsid w:val="22596EC8"/>
    <w:rsid w:val="226347BD"/>
    <w:rsid w:val="22682935"/>
    <w:rsid w:val="226E0A7E"/>
    <w:rsid w:val="227E0D30"/>
    <w:rsid w:val="227E7CD6"/>
    <w:rsid w:val="228A4698"/>
    <w:rsid w:val="22925971"/>
    <w:rsid w:val="22945167"/>
    <w:rsid w:val="229B0BE2"/>
    <w:rsid w:val="22A55CD5"/>
    <w:rsid w:val="22C558BB"/>
    <w:rsid w:val="22C74EE2"/>
    <w:rsid w:val="22CB6237"/>
    <w:rsid w:val="22CD14B5"/>
    <w:rsid w:val="22E02C6E"/>
    <w:rsid w:val="22E04FF4"/>
    <w:rsid w:val="22E1121B"/>
    <w:rsid w:val="22EA4C70"/>
    <w:rsid w:val="22F15AB9"/>
    <w:rsid w:val="22F75251"/>
    <w:rsid w:val="22F86F75"/>
    <w:rsid w:val="22FB4D32"/>
    <w:rsid w:val="22FC72E3"/>
    <w:rsid w:val="23131055"/>
    <w:rsid w:val="23146AC2"/>
    <w:rsid w:val="232C2DD6"/>
    <w:rsid w:val="233C6F76"/>
    <w:rsid w:val="234449F5"/>
    <w:rsid w:val="23536618"/>
    <w:rsid w:val="236C1BCA"/>
    <w:rsid w:val="237464D5"/>
    <w:rsid w:val="23816932"/>
    <w:rsid w:val="238E01E4"/>
    <w:rsid w:val="23925D42"/>
    <w:rsid w:val="239C062C"/>
    <w:rsid w:val="23A9484E"/>
    <w:rsid w:val="23B32F98"/>
    <w:rsid w:val="23B84268"/>
    <w:rsid w:val="23D17D7B"/>
    <w:rsid w:val="23D36D91"/>
    <w:rsid w:val="23E02099"/>
    <w:rsid w:val="23F70BA5"/>
    <w:rsid w:val="23F93D0D"/>
    <w:rsid w:val="2405417E"/>
    <w:rsid w:val="24197365"/>
    <w:rsid w:val="241B5C62"/>
    <w:rsid w:val="24312CB0"/>
    <w:rsid w:val="243A6CBE"/>
    <w:rsid w:val="24513B48"/>
    <w:rsid w:val="2458381E"/>
    <w:rsid w:val="245872F9"/>
    <w:rsid w:val="245943D9"/>
    <w:rsid w:val="245E6B64"/>
    <w:rsid w:val="2463385E"/>
    <w:rsid w:val="246B2606"/>
    <w:rsid w:val="24767C7B"/>
    <w:rsid w:val="247C178B"/>
    <w:rsid w:val="24861BCE"/>
    <w:rsid w:val="2486388F"/>
    <w:rsid w:val="24967323"/>
    <w:rsid w:val="249D5FC8"/>
    <w:rsid w:val="24A1538E"/>
    <w:rsid w:val="24B9450F"/>
    <w:rsid w:val="24C25350"/>
    <w:rsid w:val="24C83F94"/>
    <w:rsid w:val="24D82EE2"/>
    <w:rsid w:val="24F60CDA"/>
    <w:rsid w:val="24FE42EB"/>
    <w:rsid w:val="25090336"/>
    <w:rsid w:val="250D450C"/>
    <w:rsid w:val="25134332"/>
    <w:rsid w:val="25141A5B"/>
    <w:rsid w:val="2521546A"/>
    <w:rsid w:val="252242ED"/>
    <w:rsid w:val="252A2BA6"/>
    <w:rsid w:val="252B49E0"/>
    <w:rsid w:val="252D3CC1"/>
    <w:rsid w:val="254A35DD"/>
    <w:rsid w:val="255D45FE"/>
    <w:rsid w:val="25657E8F"/>
    <w:rsid w:val="256658A2"/>
    <w:rsid w:val="25691F8B"/>
    <w:rsid w:val="256C13EF"/>
    <w:rsid w:val="256E76DE"/>
    <w:rsid w:val="25733F7D"/>
    <w:rsid w:val="25734B61"/>
    <w:rsid w:val="257632D6"/>
    <w:rsid w:val="25855673"/>
    <w:rsid w:val="258F6BC4"/>
    <w:rsid w:val="2597510C"/>
    <w:rsid w:val="25975923"/>
    <w:rsid w:val="259A3D0A"/>
    <w:rsid w:val="25A95F3E"/>
    <w:rsid w:val="25BD12A6"/>
    <w:rsid w:val="25BF0CF9"/>
    <w:rsid w:val="25BF6041"/>
    <w:rsid w:val="25C35718"/>
    <w:rsid w:val="25C61D8C"/>
    <w:rsid w:val="25CF0252"/>
    <w:rsid w:val="25D0248E"/>
    <w:rsid w:val="25D61C5C"/>
    <w:rsid w:val="25F81D70"/>
    <w:rsid w:val="25FB5636"/>
    <w:rsid w:val="25FE58A9"/>
    <w:rsid w:val="26006FFE"/>
    <w:rsid w:val="26026DCF"/>
    <w:rsid w:val="26070462"/>
    <w:rsid w:val="260D2C45"/>
    <w:rsid w:val="261B63E3"/>
    <w:rsid w:val="262519C1"/>
    <w:rsid w:val="262E3CBF"/>
    <w:rsid w:val="26395C92"/>
    <w:rsid w:val="2641231E"/>
    <w:rsid w:val="264132D1"/>
    <w:rsid w:val="264252DF"/>
    <w:rsid w:val="26465DA0"/>
    <w:rsid w:val="26562F1C"/>
    <w:rsid w:val="26577EF5"/>
    <w:rsid w:val="265A5249"/>
    <w:rsid w:val="265C53CB"/>
    <w:rsid w:val="266237C3"/>
    <w:rsid w:val="267550B9"/>
    <w:rsid w:val="26996DAE"/>
    <w:rsid w:val="26BE1846"/>
    <w:rsid w:val="26C472EC"/>
    <w:rsid w:val="26E51F4F"/>
    <w:rsid w:val="26E83216"/>
    <w:rsid w:val="26EC491A"/>
    <w:rsid w:val="26ED73E1"/>
    <w:rsid w:val="26F503CD"/>
    <w:rsid w:val="27036506"/>
    <w:rsid w:val="27047832"/>
    <w:rsid w:val="2706037D"/>
    <w:rsid w:val="27077793"/>
    <w:rsid w:val="270D152E"/>
    <w:rsid w:val="271436A9"/>
    <w:rsid w:val="27204B5D"/>
    <w:rsid w:val="27257DE1"/>
    <w:rsid w:val="272F31A0"/>
    <w:rsid w:val="27310CAC"/>
    <w:rsid w:val="27342901"/>
    <w:rsid w:val="273D2762"/>
    <w:rsid w:val="27470B72"/>
    <w:rsid w:val="27525E32"/>
    <w:rsid w:val="27604751"/>
    <w:rsid w:val="276621B4"/>
    <w:rsid w:val="276D111F"/>
    <w:rsid w:val="2778582E"/>
    <w:rsid w:val="27806765"/>
    <w:rsid w:val="27821DE7"/>
    <w:rsid w:val="27832596"/>
    <w:rsid w:val="278C1620"/>
    <w:rsid w:val="279B1E53"/>
    <w:rsid w:val="279C5F0C"/>
    <w:rsid w:val="279E0177"/>
    <w:rsid w:val="27AA3521"/>
    <w:rsid w:val="27AB7429"/>
    <w:rsid w:val="27B10D86"/>
    <w:rsid w:val="27C0656B"/>
    <w:rsid w:val="27C57B2B"/>
    <w:rsid w:val="27C8029E"/>
    <w:rsid w:val="27CC78AC"/>
    <w:rsid w:val="27D72FE7"/>
    <w:rsid w:val="27D86029"/>
    <w:rsid w:val="27DD45ED"/>
    <w:rsid w:val="27E3651B"/>
    <w:rsid w:val="27E864CC"/>
    <w:rsid w:val="27EC25E3"/>
    <w:rsid w:val="27ED0939"/>
    <w:rsid w:val="27F1498B"/>
    <w:rsid w:val="27F80CA0"/>
    <w:rsid w:val="28021134"/>
    <w:rsid w:val="2802750E"/>
    <w:rsid w:val="28027A71"/>
    <w:rsid w:val="281D5376"/>
    <w:rsid w:val="281F4F67"/>
    <w:rsid w:val="282857E6"/>
    <w:rsid w:val="283744B4"/>
    <w:rsid w:val="283E7768"/>
    <w:rsid w:val="28485D62"/>
    <w:rsid w:val="28517107"/>
    <w:rsid w:val="28524ABE"/>
    <w:rsid w:val="285560D7"/>
    <w:rsid w:val="286C77D1"/>
    <w:rsid w:val="286E74F1"/>
    <w:rsid w:val="28760CA0"/>
    <w:rsid w:val="287B218C"/>
    <w:rsid w:val="288A05DD"/>
    <w:rsid w:val="288C7637"/>
    <w:rsid w:val="28937D89"/>
    <w:rsid w:val="289B0550"/>
    <w:rsid w:val="28A044B5"/>
    <w:rsid w:val="28BD3F79"/>
    <w:rsid w:val="28C8606D"/>
    <w:rsid w:val="28C96C14"/>
    <w:rsid w:val="28DC6BC2"/>
    <w:rsid w:val="28DE11F1"/>
    <w:rsid w:val="28E138E3"/>
    <w:rsid w:val="28E74216"/>
    <w:rsid w:val="28E87EE4"/>
    <w:rsid w:val="28F61640"/>
    <w:rsid w:val="28FD484F"/>
    <w:rsid w:val="290212AC"/>
    <w:rsid w:val="2903396A"/>
    <w:rsid w:val="293756D6"/>
    <w:rsid w:val="294E766A"/>
    <w:rsid w:val="2952590A"/>
    <w:rsid w:val="295545AF"/>
    <w:rsid w:val="29623F1E"/>
    <w:rsid w:val="297161D3"/>
    <w:rsid w:val="2978319A"/>
    <w:rsid w:val="29886D49"/>
    <w:rsid w:val="29897A2F"/>
    <w:rsid w:val="29A015B3"/>
    <w:rsid w:val="29A02DFF"/>
    <w:rsid w:val="29A3014B"/>
    <w:rsid w:val="29A74CBD"/>
    <w:rsid w:val="29A80BF5"/>
    <w:rsid w:val="29B01C34"/>
    <w:rsid w:val="29B16357"/>
    <w:rsid w:val="29BA0D88"/>
    <w:rsid w:val="29BB3E72"/>
    <w:rsid w:val="29CF32B2"/>
    <w:rsid w:val="29DE15A2"/>
    <w:rsid w:val="29E0500B"/>
    <w:rsid w:val="29EC475A"/>
    <w:rsid w:val="29EF3680"/>
    <w:rsid w:val="29EF424E"/>
    <w:rsid w:val="29FA7F26"/>
    <w:rsid w:val="2A0B7871"/>
    <w:rsid w:val="2A166823"/>
    <w:rsid w:val="2A35650F"/>
    <w:rsid w:val="2A405845"/>
    <w:rsid w:val="2A4562D4"/>
    <w:rsid w:val="2A4D593F"/>
    <w:rsid w:val="2A575627"/>
    <w:rsid w:val="2A6C2D77"/>
    <w:rsid w:val="2A6E31F8"/>
    <w:rsid w:val="2A7270B7"/>
    <w:rsid w:val="2A824349"/>
    <w:rsid w:val="2A87174E"/>
    <w:rsid w:val="2A8A2F9C"/>
    <w:rsid w:val="2AA45D17"/>
    <w:rsid w:val="2AAB3B94"/>
    <w:rsid w:val="2AAC5A06"/>
    <w:rsid w:val="2AB22DE3"/>
    <w:rsid w:val="2AB369FC"/>
    <w:rsid w:val="2AB775FB"/>
    <w:rsid w:val="2ABB3D6F"/>
    <w:rsid w:val="2AC318D9"/>
    <w:rsid w:val="2AC70B30"/>
    <w:rsid w:val="2ACC2AAF"/>
    <w:rsid w:val="2ACD717C"/>
    <w:rsid w:val="2AD74744"/>
    <w:rsid w:val="2AD91AC2"/>
    <w:rsid w:val="2AE57C95"/>
    <w:rsid w:val="2AF34B3D"/>
    <w:rsid w:val="2AF35C8B"/>
    <w:rsid w:val="2B055F4D"/>
    <w:rsid w:val="2B0C0EEE"/>
    <w:rsid w:val="2B112D02"/>
    <w:rsid w:val="2B132265"/>
    <w:rsid w:val="2B214776"/>
    <w:rsid w:val="2B2843BE"/>
    <w:rsid w:val="2B2A789A"/>
    <w:rsid w:val="2B313FC1"/>
    <w:rsid w:val="2B347C14"/>
    <w:rsid w:val="2B39348E"/>
    <w:rsid w:val="2B437285"/>
    <w:rsid w:val="2B494377"/>
    <w:rsid w:val="2B4D695C"/>
    <w:rsid w:val="2B514803"/>
    <w:rsid w:val="2B5E6C2A"/>
    <w:rsid w:val="2B63183E"/>
    <w:rsid w:val="2B637D4B"/>
    <w:rsid w:val="2B6B1684"/>
    <w:rsid w:val="2B7B70BF"/>
    <w:rsid w:val="2B853AF3"/>
    <w:rsid w:val="2B8B422C"/>
    <w:rsid w:val="2B950A36"/>
    <w:rsid w:val="2BA07D38"/>
    <w:rsid w:val="2BC40957"/>
    <w:rsid w:val="2BCA5C66"/>
    <w:rsid w:val="2BCB5DAA"/>
    <w:rsid w:val="2BD65380"/>
    <w:rsid w:val="2BD86372"/>
    <w:rsid w:val="2BDA39FD"/>
    <w:rsid w:val="2BE725D0"/>
    <w:rsid w:val="2BEF631E"/>
    <w:rsid w:val="2BF369B9"/>
    <w:rsid w:val="2BFC0A4A"/>
    <w:rsid w:val="2C094904"/>
    <w:rsid w:val="2C0E55A1"/>
    <w:rsid w:val="2C14030B"/>
    <w:rsid w:val="2C346DB5"/>
    <w:rsid w:val="2C3A7BF6"/>
    <w:rsid w:val="2C425BCE"/>
    <w:rsid w:val="2C44676A"/>
    <w:rsid w:val="2C495C38"/>
    <w:rsid w:val="2C4A080C"/>
    <w:rsid w:val="2C4E77B9"/>
    <w:rsid w:val="2C54533B"/>
    <w:rsid w:val="2C591378"/>
    <w:rsid w:val="2C722F9A"/>
    <w:rsid w:val="2C797A76"/>
    <w:rsid w:val="2C8B6C0E"/>
    <w:rsid w:val="2C8F4862"/>
    <w:rsid w:val="2C9E5AC8"/>
    <w:rsid w:val="2CA05674"/>
    <w:rsid w:val="2CA2721B"/>
    <w:rsid w:val="2CAC6D87"/>
    <w:rsid w:val="2CB23B2C"/>
    <w:rsid w:val="2CB268EE"/>
    <w:rsid w:val="2CB600FC"/>
    <w:rsid w:val="2CBE6567"/>
    <w:rsid w:val="2CCB6E18"/>
    <w:rsid w:val="2CCF5C52"/>
    <w:rsid w:val="2CE01F07"/>
    <w:rsid w:val="2CE8526F"/>
    <w:rsid w:val="2D024DC7"/>
    <w:rsid w:val="2D026315"/>
    <w:rsid w:val="2D0764BD"/>
    <w:rsid w:val="2D0A3DA2"/>
    <w:rsid w:val="2D0B3169"/>
    <w:rsid w:val="2D0D4219"/>
    <w:rsid w:val="2D105AFA"/>
    <w:rsid w:val="2D2279B8"/>
    <w:rsid w:val="2D274320"/>
    <w:rsid w:val="2D2D2DE2"/>
    <w:rsid w:val="2D3117D3"/>
    <w:rsid w:val="2D324CCC"/>
    <w:rsid w:val="2D340E86"/>
    <w:rsid w:val="2D395427"/>
    <w:rsid w:val="2D3A2269"/>
    <w:rsid w:val="2D3D0E02"/>
    <w:rsid w:val="2D510F65"/>
    <w:rsid w:val="2D5436FA"/>
    <w:rsid w:val="2D59263A"/>
    <w:rsid w:val="2D62469E"/>
    <w:rsid w:val="2D6B40A9"/>
    <w:rsid w:val="2D8A3FA2"/>
    <w:rsid w:val="2D954C68"/>
    <w:rsid w:val="2D9767DC"/>
    <w:rsid w:val="2D980DDC"/>
    <w:rsid w:val="2D987372"/>
    <w:rsid w:val="2DA23689"/>
    <w:rsid w:val="2DBC2A76"/>
    <w:rsid w:val="2DC66A91"/>
    <w:rsid w:val="2DC92AA1"/>
    <w:rsid w:val="2DCE5F69"/>
    <w:rsid w:val="2DD51812"/>
    <w:rsid w:val="2DD63DB4"/>
    <w:rsid w:val="2DDD4F0A"/>
    <w:rsid w:val="2E0F49FC"/>
    <w:rsid w:val="2E147A92"/>
    <w:rsid w:val="2E2D64A9"/>
    <w:rsid w:val="2E34792A"/>
    <w:rsid w:val="2E376AEB"/>
    <w:rsid w:val="2E437E73"/>
    <w:rsid w:val="2E4A5201"/>
    <w:rsid w:val="2E5034DC"/>
    <w:rsid w:val="2E572AB9"/>
    <w:rsid w:val="2E600E38"/>
    <w:rsid w:val="2E7258DC"/>
    <w:rsid w:val="2E7545D2"/>
    <w:rsid w:val="2E79458E"/>
    <w:rsid w:val="2E797A78"/>
    <w:rsid w:val="2E7A5F31"/>
    <w:rsid w:val="2E7C6A94"/>
    <w:rsid w:val="2E8321A5"/>
    <w:rsid w:val="2E8475EF"/>
    <w:rsid w:val="2E8D14A8"/>
    <w:rsid w:val="2E95430E"/>
    <w:rsid w:val="2E9A2060"/>
    <w:rsid w:val="2E9F6D95"/>
    <w:rsid w:val="2EAE350B"/>
    <w:rsid w:val="2EB20A6C"/>
    <w:rsid w:val="2EBC2287"/>
    <w:rsid w:val="2EC3466D"/>
    <w:rsid w:val="2EC44440"/>
    <w:rsid w:val="2ECA3116"/>
    <w:rsid w:val="2EDD7896"/>
    <w:rsid w:val="2EEA6E65"/>
    <w:rsid w:val="2EF33C7C"/>
    <w:rsid w:val="2F00052B"/>
    <w:rsid w:val="2F0367CD"/>
    <w:rsid w:val="2F1251F2"/>
    <w:rsid w:val="2F2D445E"/>
    <w:rsid w:val="2F4B20A5"/>
    <w:rsid w:val="2F4F6FBB"/>
    <w:rsid w:val="2F5A00E5"/>
    <w:rsid w:val="2F664E2B"/>
    <w:rsid w:val="2F6C7BE3"/>
    <w:rsid w:val="2F783485"/>
    <w:rsid w:val="2F7A17CB"/>
    <w:rsid w:val="2F7A78AC"/>
    <w:rsid w:val="2F7F5C0B"/>
    <w:rsid w:val="2F895685"/>
    <w:rsid w:val="2F9A13B4"/>
    <w:rsid w:val="2FA417BA"/>
    <w:rsid w:val="2FA6492D"/>
    <w:rsid w:val="2FC86676"/>
    <w:rsid w:val="2FD17A1B"/>
    <w:rsid w:val="2FD71CA4"/>
    <w:rsid w:val="2FDC432A"/>
    <w:rsid w:val="2FDC4A8D"/>
    <w:rsid w:val="2FE27109"/>
    <w:rsid w:val="2FEA743A"/>
    <w:rsid w:val="2FF24D11"/>
    <w:rsid w:val="2FF93066"/>
    <w:rsid w:val="301742B2"/>
    <w:rsid w:val="301A1509"/>
    <w:rsid w:val="301A71CE"/>
    <w:rsid w:val="301D63DD"/>
    <w:rsid w:val="301E049B"/>
    <w:rsid w:val="302A4BE6"/>
    <w:rsid w:val="304478EC"/>
    <w:rsid w:val="304F4511"/>
    <w:rsid w:val="30515C8E"/>
    <w:rsid w:val="305823FF"/>
    <w:rsid w:val="30830761"/>
    <w:rsid w:val="30926F91"/>
    <w:rsid w:val="30962F3E"/>
    <w:rsid w:val="30A85733"/>
    <w:rsid w:val="30AA2585"/>
    <w:rsid w:val="30C16A19"/>
    <w:rsid w:val="30C262B6"/>
    <w:rsid w:val="30CB5800"/>
    <w:rsid w:val="30D32236"/>
    <w:rsid w:val="30DB6CFA"/>
    <w:rsid w:val="30E43E12"/>
    <w:rsid w:val="30E53B71"/>
    <w:rsid w:val="30E8513F"/>
    <w:rsid w:val="30FA7530"/>
    <w:rsid w:val="30FF2795"/>
    <w:rsid w:val="31015E30"/>
    <w:rsid w:val="310375CD"/>
    <w:rsid w:val="310854C5"/>
    <w:rsid w:val="310E6387"/>
    <w:rsid w:val="311611B3"/>
    <w:rsid w:val="311F6A53"/>
    <w:rsid w:val="313C313D"/>
    <w:rsid w:val="313F6DC6"/>
    <w:rsid w:val="314E236F"/>
    <w:rsid w:val="315C5815"/>
    <w:rsid w:val="315E0B07"/>
    <w:rsid w:val="31621F46"/>
    <w:rsid w:val="316A723C"/>
    <w:rsid w:val="316E7CA0"/>
    <w:rsid w:val="317206BF"/>
    <w:rsid w:val="317932EA"/>
    <w:rsid w:val="317938E9"/>
    <w:rsid w:val="317E5000"/>
    <w:rsid w:val="31870868"/>
    <w:rsid w:val="31875BB4"/>
    <w:rsid w:val="31A9328B"/>
    <w:rsid w:val="31B718F2"/>
    <w:rsid w:val="31C57B88"/>
    <w:rsid w:val="31D20051"/>
    <w:rsid w:val="31DC626C"/>
    <w:rsid w:val="31E745D2"/>
    <w:rsid w:val="31EF7EE8"/>
    <w:rsid w:val="3201404F"/>
    <w:rsid w:val="320901F5"/>
    <w:rsid w:val="320B7CCB"/>
    <w:rsid w:val="32105DE8"/>
    <w:rsid w:val="32286907"/>
    <w:rsid w:val="322E2721"/>
    <w:rsid w:val="322F1AC4"/>
    <w:rsid w:val="3235187E"/>
    <w:rsid w:val="3237186B"/>
    <w:rsid w:val="323B6798"/>
    <w:rsid w:val="32537B57"/>
    <w:rsid w:val="325779E7"/>
    <w:rsid w:val="325F618E"/>
    <w:rsid w:val="32757E99"/>
    <w:rsid w:val="327D43E5"/>
    <w:rsid w:val="32842CF3"/>
    <w:rsid w:val="328F2182"/>
    <w:rsid w:val="328F5534"/>
    <w:rsid w:val="329A6217"/>
    <w:rsid w:val="329A6ACE"/>
    <w:rsid w:val="329C2950"/>
    <w:rsid w:val="32A145CA"/>
    <w:rsid w:val="32A230DB"/>
    <w:rsid w:val="32B52836"/>
    <w:rsid w:val="32DF351E"/>
    <w:rsid w:val="32EE5E41"/>
    <w:rsid w:val="32F1510B"/>
    <w:rsid w:val="32F40F87"/>
    <w:rsid w:val="32F520B9"/>
    <w:rsid w:val="32FD7C76"/>
    <w:rsid w:val="330414AF"/>
    <w:rsid w:val="330C22FC"/>
    <w:rsid w:val="33231081"/>
    <w:rsid w:val="332A6617"/>
    <w:rsid w:val="33540E5D"/>
    <w:rsid w:val="335A0521"/>
    <w:rsid w:val="335D7182"/>
    <w:rsid w:val="335E7B11"/>
    <w:rsid w:val="335F2ADB"/>
    <w:rsid w:val="3364318B"/>
    <w:rsid w:val="33691888"/>
    <w:rsid w:val="336A499A"/>
    <w:rsid w:val="33714830"/>
    <w:rsid w:val="33737F51"/>
    <w:rsid w:val="3375654F"/>
    <w:rsid w:val="337964FF"/>
    <w:rsid w:val="337D34FB"/>
    <w:rsid w:val="337E2DAF"/>
    <w:rsid w:val="339C6DF8"/>
    <w:rsid w:val="33A47053"/>
    <w:rsid w:val="33AD5111"/>
    <w:rsid w:val="33BF4199"/>
    <w:rsid w:val="33CD23A8"/>
    <w:rsid w:val="33CD6498"/>
    <w:rsid w:val="33D7554F"/>
    <w:rsid w:val="33D825FA"/>
    <w:rsid w:val="33DB2AB1"/>
    <w:rsid w:val="33FE62E7"/>
    <w:rsid w:val="34080399"/>
    <w:rsid w:val="340D25F6"/>
    <w:rsid w:val="34161D6C"/>
    <w:rsid w:val="341E19AD"/>
    <w:rsid w:val="3429226D"/>
    <w:rsid w:val="342B76C7"/>
    <w:rsid w:val="343A1527"/>
    <w:rsid w:val="34447898"/>
    <w:rsid w:val="344E62FA"/>
    <w:rsid w:val="34542DE9"/>
    <w:rsid w:val="34542E46"/>
    <w:rsid w:val="346C4879"/>
    <w:rsid w:val="346D7DEA"/>
    <w:rsid w:val="3472234D"/>
    <w:rsid w:val="347D500F"/>
    <w:rsid w:val="34830157"/>
    <w:rsid w:val="34872D27"/>
    <w:rsid w:val="348E58C4"/>
    <w:rsid w:val="349164BD"/>
    <w:rsid w:val="3495237E"/>
    <w:rsid w:val="3499657C"/>
    <w:rsid w:val="34A52713"/>
    <w:rsid w:val="34BD02AE"/>
    <w:rsid w:val="34BD32A6"/>
    <w:rsid w:val="34BE1B67"/>
    <w:rsid w:val="34C20DC7"/>
    <w:rsid w:val="34DA26A8"/>
    <w:rsid w:val="34DE2B9F"/>
    <w:rsid w:val="34DF0124"/>
    <w:rsid w:val="34E145D2"/>
    <w:rsid w:val="34E75EA5"/>
    <w:rsid w:val="34E960F1"/>
    <w:rsid w:val="34EE6187"/>
    <w:rsid w:val="350A65C4"/>
    <w:rsid w:val="350B42D5"/>
    <w:rsid w:val="350F6258"/>
    <w:rsid w:val="351A603C"/>
    <w:rsid w:val="352821F6"/>
    <w:rsid w:val="3533698A"/>
    <w:rsid w:val="35387F19"/>
    <w:rsid w:val="3539550B"/>
    <w:rsid w:val="354319AA"/>
    <w:rsid w:val="354D5E0E"/>
    <w:rsid w:val="355D10E3"/>
    <w:rsid w:val="356150BC"/>
    <w:rsid w:val="356678B4"/>
    <w:rsid w:val="3573649F"/>
    <w:rsid w:val="35774602"/>
    <w:rsid w:val="357E4B0A"/>
    <w:rsid w:val="35866D7F"/>
    <w:rsid w:val="358F6BDF"/>
    <w:rsid w:val="35917C0B"/>
    <w:rsid w:val="35A26AC9"/>
    <w:rsid w:val="35A440D7"/>
    <w:rsid w:val="35C06D50"/>
    <w:rsid w:val="35CD6F14"/>
    <w:rsid w:val="35D24294"/>
    <w:rsid w:val="35D71152"/>
    <w:rsid w:val="35F629BD"/>
    <w:rsid w:val="35FF6F3C"/>
    <w:rsid w:val="3600359A"/>
    <w:rsid w:val="36075F27"/>
    <w:rsid w:val="36121506"/>
    <w:rsid w:val="36180A4A"/>
    <w:rsid w:val="361D7A43"/>
    <w:rsid w:val="361E658D"/>
    <w:rsid w:val="361F3323"/>
    <w:rsid w:val="363019EB"/>
    <w:rsid w:val="36326D0C"/>
    <w:rsid w:val="36402EFA"/>
    <w:rsid w:val="36496A51"/>
    <w:rsid w:val="364F7CD0"/>
    <w:rsid w:val="36535FD0"/>
    <w:rsid w:val="365623F6"/>
    <w:rsid w:val="366B1251"/>
    <w:rsid w:val="366C7E67"/>
    <w:rsid w:val="368230C6"/>
    <w:rsid w:val="36843A03"/>
    <w:rsid w:val="368F7E4F"/>
    <w:rsid w:val="36985297"/>
    <w:rsid w:val="369F633B"/>
    <w:rsid w:val="36A30FDB"/>
    <w:rsid w:val="36A7007C"/>
    <w:rsid w:val="36AB07EC"/>
    <w:rsid w:val="36B24AE8"/>
    <w:rsid w:val="36BD0DC4"/>
    <w:rsid w:val="36D51D00"/>
    <w:rsid w:val="36D66B5E"/>
    <w:rsid w:val="36D86634"/>
    <w:rsid w:val="36DE4AF9"/>
    <w:rsid w:val="36E410A4"/>
    <w:rsid w:val="36E93760"/>
    <w:rsid w:val="36F4550C"/>
    <w:rsid w:val="36FB4305"/>
    <w:rsid w:val="3708597F"/>
    <w:rsid w:val="3709624C"/>
    <w:rsid w:val="37096815"/>
    <w:rsid w:val="370F7060"/>
    <w:rsid w:val="37134801"/>
    <w:rsid w:val="37173233"/>
    <w:rsid w:val="371C344E"/>
    <w:rsid w:val="37226558"/>
    <w:rsid w:val="3734159D"/>
    <w:rsid w:val="37382526"/>
    <w:rsid w:val="373B4C89"/>
    <w:rsid w:val="37503E6C"/>
    <w:rsid w:val="3758590A"/>
    <w:rsid w:val="375E77B2"/>
    <w:rsid w:val="37602E60"/>
    <w:rsid w:val="37611796"/>
    <w:rsid w:val="37625C1C"/>
    <w:rsid w:val="377519F1"/>
    <w:rsid w:val="377B528D"/>
    <w:rsid w:val="377D206E"/>
    <w:rsid w:val="377D4DA8"/>
    <w:rsid w:val="378229A7"/>
    <w:rsid w:val="3784394E"/>
    <w:rsid w:val="37946975"/>
    <w:rsid w:val="37987437"/>
    <w:rsid w:val="379F33FC"/>
    <w:rsid w:val="37A432E4"/>
    <w:rsid w:val="37A86196"/>
    <w:rsid w:val="37C94031"/>
    <w:rsid w:val="37CA042E"/>
    <w:rsid w:val="37CA2635"/>
    <w:rsid w:val="37D44549"/>
    <w:rsid w:val="37D77B09"/>
    <w:rsid w:val="37D931A8"/>
    <w:rsid w:val="37D97EDE"/>
    <w:rsid w:val="37E76E34"/>
    <w:rsid w:val="380632B2"/>
    <w:rsid w:val="380D02B1"/>
    <w:rsid w:val="38190834"/>
    <w:rsid w:val="381C3EB1"/>
    <w:rsid w:val="381E409C"/>
    <w:rsid w:val="382B1BDF"/>
    <w:rsid w:val="382E392C"/>
    <w:rsid w:val="38310B25"/>
    <w:rsid w:val="38325D99"/>
    <w:rsid w:val="38342E90"/>
    <w:rsid w:val="38451B7E"/>
    <w:rsid w:val="384B7332"/>
    <w:rsid w:val="384E20F8"/>
    <w:rsid w:val="385056AF"/>
    <w:rsid w:val="386A7142"/>
    <w:rsid w:val="386E0B2C"/>
    <w:rsid w:val="38706DCB"/>
    <w:rsid w:val="387E793E"/>
    <w:rsid w:val="388E5848"/>
    <w:rsid w:val="389E7B13"/>
    <w:rsid w:val="38A341A7"/>
    <w:rsid w:val="38AF6B7E"/>
    <w:rsid w:val="38BD240C"/>
    <w:rsid w:val="38BD31EE"/>
    <w:rsid w:val="38C05985"/>
    <w:rsid w:val="38C2629A"/>
    <w:rsid w:val="38CB3BDF"/>
    <w:rsid w:val="38CD22F1"/>
    <w:rsid w:val="38D33D29"/>
    <w:rsid w:val="38D41CCF"/>
    <w:rsid w:val="38E40A5B"/>
    <w:rsid w:val="38E51952"/>
    <w:rsid w:val="38F16A28"/>
    <w:rsid w:val="3913128B"/>
    <w:rsid w:val="391A3359"/>
    <w:rsid w:val="39285D57"/>
    <w:rsid w:val="39315D4D"/>
    <w:rsid w:val="394B6470"/>
    <w:rsid w:val="395C6EA8"/>
    <w:rsid w:val="39872512"/>
    <w:rsid w:val="399D2B0E"/>
    <w:rsid w:val="399D584E"/>
    <w:rsid w:val="39A602F9"/>
    <w:rsid w:val="39BD45C8"/>
    <w:rsid w:val="39C2316A"/>
    <w:rsid w:val="39F36281"/>
    <w:rsid w:val="39FD376D"/>
    <w:rsid w:val="39FD6C9C"/>
    <w:rsid w:val="39FF6B36"/>
    <w:rsid w:val="3A0224B9"/>
    <w:rsid w:val="3A0526B5"/>
    <w:rsid w:val="3A14011B"/>
    <w:rsid w:val="3A1509F4"/>
    <w:rsid w:val="3A16728B"/>
    <w:rsid w:val="3A16794C"/>
    <w:rsid w:val="3A1F6809"/>
    <w:rsid w:val="3A226969"/>
    <w:rsid w:val="3A3F47CE"/>
    <w:rsid w:val="3A410243"/>
    <w:rsid w:val="3A4E1C5D"/>
    <w:rsid w:val="3A523735"/>
    <w:rsid w:val="3A557AE4"/>
    <w:rsid w:val="3A6B0F84"/>
    <w:rsid w:val="3A727435"/>
    <w:rsid w:val="3A813EA6"/>
    <w:rsid w:val="3A94055A"/>
    <w:rsid w:val="3AB00167"/>
    <w:rsid w:val="3AC17E3A"/>
    <w:rsid w:val="3ACB5746"/>
    <w:rsid w:val="3ACE209E"/>
    <w:rsid w:val="3AD450E7"/>
    <w:rsid w:val="3ADD2B05"/>
    <w:rsid w:val="3AE36EC1"/>
    <w:rsid w:val="3AE417E3"/>
    <w:rsid w:val="3AE440AF"/>
    <w:rsid w:val="3AF7667E"/>
    <w:rsid w:val="3B113F51"/>
    <w:rsid w:val="3B192990"/>
    <w:rsid w:val="3B251957"/>
    <w:rsid w:val="3B2D3716"/>
    <w:rsid w:val="3B307112"/>
    <w:rsid w:val="3B307FDD"/>
    <w:rsid w:val="3B3D1A41"/>
    <w:rsid w:val="3B3E5BDD"/>
    <w:rsid w:val="3B552653"/>
    <w:rsid w:val="3B5A2A22"/>
    <w:rsid w:val="3B707794"/>
    <w:rsid w:val="3B7804A3"/>
    <w:rsid w:val="3B8E2153"/>
    <w:rsid w:val="3B9B2072"/>
    <w:rsid w:val="3BA03B83"/>
    <w:rsid w:val="3BA91F03"/>
    <w:rsid w:val="3BB16FA6"/>
    <w:rsid w:val="3BB17CE6"/>
    <w:rsid w:val="3BB20883"/>
    <w:rsid w:val="3BB448B0"/>
    <w:rsid w:val="3BC34E75"/>
    <w:rsid w:val="3BCB270F"/>
    <w:rsid w:val="3BD569C2"/>
    <w:rsid w:val="3BD96AA6"/>
    <w:rsid w:val="3BDB053C"/>
    <w:rsid w:val="3BE4466B"/>
    <w:rsid w:val="3BED002E"/>
    <w:rsid w:val="3C0429BF"/>
    <w:rsid w:val="3C066389"/>
    <w:rsid w:val="3C0D66FC"/>
    <w:rsid w:val="3C120C48"/>
    <w:rsid w:val="3C1A201A"/>
    <w:rsid w:val="3C244848"/>
    <w:rsid w:val="3C276807"/>
    <w:rsid w:val="3C306E2F"/>
    <w:rsid w:val="3C3274E5"/>
    <w:rsid w:val="3C371D4B"/>
    <w:rsid w:val="3C382561"/>
    <w:rsid w:val="3C3B4B9D"/>
    <w:rsid w:val="3C3F772B"/>
    <w:rsid w:val="3C413C82"/>
    <w:rsid w:val="3C471C36"/>
    <w:rsid w:val="3C4B0140"/>
    <w:rsid w:val="3C4D66ED"/>
    <w:rsid w:val="3C4E7EC9"/>
    <w:rsid w:val="3C577D11"/>
    <w:rsid w:val="3C5A6B66"/>
    <w:rsid w:val="3C6472A5"/>
    <w:rsid w:val="3C734413"/>
    <w:rsid w:val="3C7A6E5A"/>
    <w:rsid w:val="3C8869CA"/>
    <w:rsid w:val="3C982C18"/>
    <w:rsid w:val="3CA734F8"/>
    <w:rsid w:val="3CA95F71"/>
    <w:rsid w:val="3CB33ABD"/>
    <w:rsid w:val="3CC16893"/>
    <w:rsid w:val="3CC74223"/>
    <w:rsid w:val="3CC828D0"/>
    <w:rsid w:val="3CCB43BE"/>
    <w:rsid w:val="3CDA6EE3"/>
    <w:rsid w:val="3CDB5F96"/>
    <w:rsid w:val="3CE23F49"/>
    <w:rsid w:val="3CE242F0"/>
    <w:rsid w:val="3CEA4F7F"/>
    <w:rsid w:val="3CEC39B8"/>
    <w:rsid w:val="3CF20887"/>
    <w:rsid w:val="3CF37919"/>
    <w:rsid w:val="3CF720E3"/>
    <w:rsid w:val="3CF72D6A"/>
    <w:rsid w:val="3CF86D06"/>
    <w:rsid w:val="3D00620E"/>
    <w:rsid w:val="3D035226"/>
    <w:rsid w:val="3D0E4AD7"/>
    <w:rsid w:val="3D31576C"/>
    <w:rsid w:val="3D316CDB"/>
    <w:rsid w:val="3D3373BD"/>
    <w:rsid w:val="3D3768D2"/>
    <w:rsid w:val="3D3A3838"/>
    <w:rsid w:val="3D3D6BBD"/>
    <w:rsid w:val="3D404CC7"/>
    <w:rsid w:val="3D450F8C"/>
    <w:rsid w:val="3D477118"/>
    <w:rsid w:val="3D51285A"/>
    <w:rsid w:val="3D594E54"/>
    <w:rsid w:val="3D62706F"/>
    <w:rsid w:val="3D6E2272"/>
    <w:rsid w:val="3D772B05"/>
    <w:rsid w:val="3D7C727A"/>
    <w:rsid w:val="3D81786B"/>
    <w:rsid w:val="3D830417"/>
    <w:rsid w:val="3D877AC5"/>
    <w:rsid w:val="3D882D35"/>
    <w:rsid w:val="3D8D2848"/>
    <w:rsid w:val="3D94235D"/>
    <w:rsid w:val="3D9461E1"/>
    <w:rsid w:val="3DAF37B0"/>
    <w:rsid w:val="3DB34E86"/>
    <w:rsid w:val="3DB36BC6"/>
    <w:rsid w:val="3DB80A86"/>
    <w:rsid w:val="3DBE6A34"/>
    <w:rsid w:val="3DC00481"/>
    <w:rsid w:val="3DDA3E19"/>
    <w:rsid w:val="3DED0F96"/>
    <w:rsid w:val="3DF130D5"/>
    <w:rsid w:val="3DF95812"/>
    <w:rsid w:val="3E0040D9"/>
    <w:rsid w:val="3E1328D6"/>
    <w:rsid w:val="3E1B7668"/>
    <w:rsid w:val="3E1C6544"/>
    <w:rsid w:val="3E1D4B24"/>
    <w:rsid w:val="3E2A7B0A"/>
    <w:rsid w:val="3E314520"/>
    <w:rsid w:val="3E3A04FA"/>
    <w:rsid w:val="3E3D6B96"/>
    <w:rsid w:val="3E3F202E"/>
    <w:rsid w:val="3E441C7D"/>
    <w:rsid w:val="3E490256"/>
    <w:rsid w:val="3E4C2EC5"/>
    <w:rsid w:val="3E55739E"/>
    <w:rsid w:val="3E6C43C8"/>
    <w:rsid w:val="3E8227F0"/>
    <w:rsid w:val="3E937F82"/>
    <w:rsid w:val="3E9B4B40"/>
    <w:rsid w:val="3EB71AC8"/>
    <w:rsid w:val="3EC85E34"/>
    <w:rsid w:val="3ECF2AAC"/>
    <w:rsid w:val="3ED0424C"/>
    <w:rsid w:val="3ED07B7E"/>
    <w:rsid w:val="3ED31AEF"/>
    <w:rsid w:val="3EDC2C5B"/>
    <w:rsid w:val="3EF31E7F"/>
    <w:rsid w:val="3EF36DF0"/>
    <w:rsid w:val="3F035EE1"/>
    <w:rsid w:val="3F053EF6"/>
    <w:rsid w:val="3F093188"/>
    <w:rsid w:val="3F0C1E13"/>
    <w:rsid w:val="3F173F6B"/>
    <w:rsid w:val="3F1E1DE8"/>
    <w:rsid w:val="3F253B0C"/>
    <w:rsid w:val="3F2853A7"/>
    <w:rsid w:val="3F2C04C4"/>
    <w:rsid w:val="3F3E7C9F"/>
    <w:rsid w:val="3F416B99"/>
    <w:rsid w:val="3F4F5AD7"/>
    <w:rsid w:val="3F643908"/>
    <w:rsid w:val="3F6828C2"/>
    <w:rsid w:val="3F6A46DC"/>
    <w:rsid w:val="3F6B75A6"/>
    <w:rsid w:val="3F884CAB"/>
    <w:rsid w:val="3F8C0A49"/>
    <w:rsid w:val="3F8E7DCD"/>
    <w:rsid w:val="3F913853"/>
    <w:rsid w:val="3F93357F"/>
    <w:rsid w:val="3F9660C3"/>
    <w:rsid w:val="3F9724DD"/>
    <w:rsid w:val="3F9C79E3"/>
    <w:rsid w:val="3FA827ED"/>
    <w:rsid w:val="3FB45C58"/>
    <w:rsid w:val="3FBA1D11"/>
    <w:rsid w:val="3FC36557"/>
    <w:rsid w:val="3FC956FF"/>
    <w:rsid w:val="3FD13F50"/>
    <w:rsid w:val="3FDC5F31"/>
    <w:rsid w:val="3FE04625"/>
    <w:rsid w:val="3FE86CE8"/>
    <w:rsid w:val="3FEF3DCD"/>
    <w:rsid w:val="3FF148F7"/>
    <w:rsid w:val="3FFB0F66"/>
    <w:rsid w:val="40022F93"/>
    <w:rsid w:val="400E6DDA"/>
    <w:rsid w:val="40146E6B"/>
    <w:rsid w:val="40225B50"/>
    <w:rsid w:val="403052F1"/>
    <w:rsid w:val="40330D29"/>
    <w:rsid w:val="404469FD"/>
    <w:rsid w:val="404A2717"/>
    <w:rsid w:val="404E779F"/>
    <w:rsid w:val="4059090D"/>
    <w:rsid w:val="4065170A"/>
    <w:rsid w:val="40687776"/>
    <w:rsid w:val="406966BC"/>
    <w:rsid w:val="406C4DFB"/>
    <w:rsid w:val="406E5CAB"/>
    <w:rsid w:val="40713C35"/>
    <w:rsid w:val="40823B87"/>
    <w:rsid w:val="408355D6"/>
    <w:rsid w:val="408376F8"/>
    <w:rsid w:val="40A163F1"/>
    <w:rsid w:val="40A25054"/>
    <w:rsid w:val="40A325E0"/>
    <w:rsid w:val="40AE30AC"/>
    <w:rsid w:val="40AE7A15"/>
    <w:rsid w:val="40B41AE2"/>
    <w:rsid w:val="40B7228C"/>
    <w:rsid w:val="40BD0DA1"/>
    <w:rsid w:val="40EC7D18"/>
    <w:rsid w:val="40ED11A0"/>
    <w:rsid w:val="40F92E97"/>
    <w:rsid w:val="40FD1BF0"/>
    <w:rsid w:val="41015E92"/>
    <w:rsid w:val="41096BC0"/>
    <w:rsid w:val="410A75B6"/>
    <w:rsid w:val="410B452A"/>
    <w:rsid w:val="41146D26"/>
    <w:rsid w:val="411B6EDC"/>
    <w:rsid w:val="413353F1"/>
    <w:rsid w:val="41464224"/>
    <w:rsid w:val="414C0B0E"/>
    <w:rsid w:val="41513BC9"/>
    <w:rsid w:val="41735B7F"/>
    <w:rsid w:val="419302E2"/>
    <w:rsid w:val="419A118B"/>
    <w:rsid w:val="419E558F"/>
    <w:rsid w:val="419E60D3"/>
    <w:rsid w:val="41A25332"/>
    <w:rsid w:val="41A339F5"/>
    <w:rsid w:val="41A36C7E"/>
    <w:rsid w:val="41AA4A84"/>
    <w:rsid w:val="41AF06D0"/>
    <w:rsid w:val="41C45B38"/>
    <w:rsid w:val="41C93F6C"/>
    <w:rsid w:val="41D5139D"/>
    <w:rsid w:val="41D75714"/>
    <w:rsid w:val="41DD3BC3"/>
    <w:rsid w:val="41E535F4"/>
    <w:rsid w:val="41EE2F03"/>
    <w:rsid w:val="41F466FD"/>
    <w:rsid w:val="42002BC7"/>
    <w:rsid w:val="42026B03"/>
    <w:rsid w:val="420C60D5"/>
    <w:rsid w:val="420D197F"/>
    <w:rsid w:val="42130DE5"/>
    <w:rsid w:val="42187EBE"/>
    <w:rsid w:val="42201DD7"/>
    <w:rsid w:val="42240D3F"/>
    <w:rsid w:val="42273D8C"/>
    <w:rsid w:val="4227435A"/>
    <w:rsid w:val="424154E1"/>
    <w:rsid w:val="42494A4D"/>
    <w:rsid w:val="424B5824"/>
    <w:rsid w:val="42616DD3"/>
    <w:rsid w:val="426973AD"/>
    <w:rsid w:val="426F56CA"/>
    <w:rsid w:val="42702D0D"/>
    <w:rsid w:val="427A67A1"/>
    <w:rsid w:val="427E0B36"/>
    <w:rsid w:val="429F2355"/>
    <w:rsid w:val="42A03D98"/>
    <w:rsid w:val="42A37FC3"/>
    <w:rsid w:val="42A729F1"/>
    <w:rsid w:val="42B94BC1"/>
    <w:rsid w:val="42BE4DAE"/>
    <w:rsid w:val="42BF61B0"/>
    <w:rsid w:val="42C30254"/>
    <w:rsid w:val="42C42A08"/>
    <w:rsid w:val="42D064B1"/>
    <w:rsid w:val="42D41F6D"/>
    <w:rsid w:val="42DE48A3"/>
    <w:rsid w:val="42E16058"/>
    <w:rsid w:val="42F17BF5"/>
    <w:rsid w:val="42F87EC9"/>
    <w:rsid w:val="42FA45BF"/>
    <w:rsid w:val="430E7E66"/>
    <w:rsid w:val="431C35C1"/>
    <w:rsid w:val="431C44AA"/>
    <w:rsid w:val="43296963"/>
    <w:rsid w:val="4332317A"/>
    <w:rsid w:val="433246A0"/>
    <w:rsid w:val="43391299"/>
    <w:rsid w:val="433E7EE2"/>
    <w:rsid w:val="433F6B54"/>
    <w:rsid w:val="43424AD7"/>
    <w:rsid w:val="4346543A"/>
    <w:rsid w:val="43533E29"/>
    <w:rsid w:val="43561E16"/>
    <w:rsid w:val="435B1259"/>
    <w:rsid w:val="436263D5"/>
    <w:rsid w:val="437556C4"/>
    <w:rsid w:val="43874CD4"/>
    <w:rsid w:val="43874FE8"/>
    <w:rsid w:val="439B699F"/>
    <w:rsid w:val="439D3E18"/>
    <w:rsid w:val="439F1200"/>
    <w:rsid w:val="43AE320F"/>
    <w:rsid w:val="43AF2D32"/>
    <w:rsid w:val="43B13512"/>
    <w:rsid w:val="43B76E4F"/>
    <w:rsid w:val="43C24E88"/>
    <w:rsid w:val="43C9176D"/>
    <w:rsid w:val="43CF0206"/>
    <w:rsid w:val="43D50BA1"/>
    <w:rsid w:val="43D81E71"/>
    <w:rsid w:val="43D85D6D"/>
    <w:rsid w:val="43E23D98"/>
    <w:rsid w:val="43EC6F1F"/>
    <w:rsid w:val="43F124F2"/>
    <w:rsid w:val="43FE44BA"/>
    <w:rsid w:val="43FE63A7"/>
    <w:rsid w:val="440656C2"/>
    <w:rsid w:val="440D5045"/>
    <w:rsid w:val="440F6C97"/>
    <w:rsid w:val="44300615"/>
    <w:rsid w:val="44371929"/>
    <w:rsid w:val="443740AF"/>
    <w:rsid w:val="44480935"/>
    <w:rsid w:val="444851FA"/>
    <w:rsid w:val="445E4DEE"/>
    <w:rsid w:val="44640994"/>
    <w:rsid w:val="446B0434"/>
    <w:rsid w:val="44756A66"/>
    <w:rsid w:val="447E4EBE"/>
    <w:rsid w:val="447F0CBA"/>
    <w:rsid w:val="44820938"/>
    <w:rsid w:val="4491630F"/>
    <w:rsid w:val="449323D4"/>
    <w:rsid w:val="44957F46"/>
    <w:rsid w:val="44994CF5"/>
    <w:rsid w:val="44AF6578"/>
    <w:rsid w:val="44B463D5"/>
    <w:rsid w:val="44C17003"/>
    <w:rsid w:val="44C90753"/>
    <w:rsid w:val="44D649CF"/>
    <w:rsid w:val="44DC46EB"/>
    <w:rsid w:val="44EA6491"/>
    <w:rsid w:val="44F03F8F"/>
    <w:rsid w:val="44F14ECF"/>
    <w:rsid w:val="45042FB1"/>
    <w:rsid w:val="45162B93"/>
    <w:rsid w:val="45234E43"/>
    <w:rsid w:val="45275172"/>
    <w:rsid w:val="452F5B3A"/>
    <w:rsid w:val="45332511"/>
    <w:rsid w:val="45370B65"/>
    <w:rsid w:val="453F44DA"/>
    <w:rsid w:val="45412C46"/>
    <w:rsid w:val="454D3110"/>
    <w:rsid w:val="45514AD5"/>
    <w:rsid w:val="4552412E"/>
    <w:rsid w:val="45570907"/>
    <w:rsid w:val="455908C0"/>
    <w:rsid w:val="455933A5"/>
    <w:rsid w:val="45724579"/>
    <w:rsid w:val="45743BE6"/>
    <w:rsid w:val="4575513B"/>
    <w:rsid w:val="45761EDD"/>
    <w:rsid w:val="457A7286"/>
    <w:rsid w:val="457B06AA"/>
    <w:rsid w:val="457C7D39"/>
    <w:rsid w:val="458667C4"/>
    <w:rsid w:val="458F5163"/>
    <w:rsid w:val="45934E4A"/>
    <w:rsid w:val="459405E3"/>
    <w:rsid w:val="459C5A47"/>
    <w:rsid w:val="45A82F38"/>
    <w:rsid w:val="45B047D1"/>
    <w:rsid w:val="45B77545"/>
    <w:rsid w:val="45BE6191"/>
    <w:rsid w:val="45BE648C"/>
    <w:rsid w:val="45C661BC"/>
    <w:rsid w:val="45CA082F"/>
    <w:rsid w:val="45CD2126"/>
    <w:rsid w:val="45CF358A"/>
    <w:rsid w:val="45DD738A"/>
    <w:rsid w:val="45E372CD"/>
    <w:rsid w:val="45FB2D6A"/>
    <w:rsid w:val="460C5979"/>
    <w:rsid w:val="46110AB3"/>
    <w:rsid w:val="46143B66"/>
    <w:rsid w:val="4615371C"/>
    <w:rsid w:val="46214325"/>
    <w:rsid w:val="4626398E"/>
    <w:rsid w:val="463246EC"/>
    <w:rsid w:val="463425D3"/>
    <w:rsid w:val="463A3547"/>
    <w:rsid w:val="464B28C8"/>
    <w:rsid w:val="464E0973"/>
    <w:rsid w:val="46555DC3"/>
    <w:rsid w:val="466125E9"/>
    <w:rsid w:val="46617DB2"/>
    <w:rsid w:val="46621065"/>
    <w:rsid w:val="46665198"/>
    <w:rsid w:val="46697236"/>
    <w:rsid w:val="46770F8B"/>
    <w:rsid w:val="467C16FA"/>
    <w:rsid w:val="46842633"/>
    <w:rsid w:val="46875964"/>
    <w:rsid w:val="46894B18"/>
    <w:rsid w:val="469448C6"/>
    <w:rsid w:val="469E47A2"/>
    <w:rsid w:val="46AB0067"/>
    <w:rsid w:val="46AD2069"/>
    <w:rsid w:val="46B80AF8"/>
    <w:rsid w:val="46D37F0B"/>
    <w:rsid w:val="46D6030E"/>
    <w:rsid w:val="46D71533"/>
    <w:rsid w:val="46E53335"/>
    <w:rsid w:val="46E544E3"/>
    <w:rsid w:val="46E87DBA"/>
    <w:rsid w:val="46EE15F6"/>
    <w:rsid w:val="46EE2CC7"/>
    <w:rsid w:val="46FA7468"/>
    <w:rsid w:val="470F7B86"/>
    <w:rsid w:val="47155D89"/>
    <w:rsid w:val="473069AF"/>
    <w:rsid w:val="47356ECD"/>
    <w:rsid w:val="474A0EAF"/>
    <w:rsid w:val="474E50BE"/>
    <w:rsid w:val="47523FA0"/>
    <w:rsid w:val="476700F2"/>
    <w:rsid w:val="47696F9C"/>
    <w:rsid w:val="47714F1F"/>
    <w:rsid w:val="47725A17"/>
    <w:rsid w:val="47756A03"/>
    <w:rsid w:val="477D3243"/>
    <w:rsid w:val="478821A1"/>
    <w:rsid w:val="478D3694"/>
    <w:rsid w:val="479128A9"/>
    <w:rsid w:val="47956820"/>
    <w:rsid w:val="47975EDC"/>
    <w:rsid w:val="47983B19"/>
    <w:rsid w:val="479E2C8A"/>
    <w:rsid w:val="47A3609D"/>
    <w:rsid w:val="47C01792"/>
    <w:rsid w:val="47C57A48"/>
    <w:rsid w:val="47D511BD"/>
    <w:rsid w:val="4808150F"/>
    <w:rsid w:val="480F51A8"/>
    <w:rsid w:val="481604F9"/>
    <w:rsid w:val="481A006F"/>
    <w:rsid w:val="48256B1B"/>
    <w:rsid w:val="48282713"/>
    <w:rsid w:val="482A6E62"/>
    <w:rsid w:val="482F2437"/>
    <w:rsid w:val="484417FA"/>
    <w:rsid w:val="48450ECE"/>
    <w:rsid w:val="484759CD"/>
    <w:rsid w:val="484B14EC"/>
    <w:rsid w:val="48602710"/>
    <w:rsid w:val="48713351"/>
    <w:rsid w:val="48725C43"/>
    <w:rsid w:val="48802846"/>
    <w:rsid w:val="488260F9"/>
    <w:rsid w:val="48850157"/>
    <w:rsid w:val="48A4573B"/>
    <w:rsid w:val="48A71C34"/>
    <w:rsid w:val="48A736CF"/>
    <w:rsid w:val="48B116EA"/>
    <w:rsid w:val="48B74C7A"/>
    <w:rsid w:val="48B95FE2"/>
    <w:rsid w:val="48BE32BF"/>
    <w:rsid w:val="48C354EC"/>
    <w:rsid w:val="48CF1A39"/>
    <w:rsid w:val="48D429DD"/>
    <w:rsid w:val="48E01C77"/>
    <w:rsid w:val="48E22285"/>
    <w:rsid w:val="48E50D90"/>
    <w:rsid w:val="48EB0B49"/>
    <w:rsid w:val="48EB0D16"/>
    <w:rsid w:val="48FA15CC"/>
    <w:rsid w:val="48FF0DD1"/>
    <w:rsid w:val="490F071A"/>
    <w:rsid w:val="491B63DF"/>
    <w:rsid w:val="491D63E9"/>
    <w:rsid w:val="49247EB1"/>
    <w:rsid w:val="4932285C"/>
    <w:rsid w:val="49331971"/>
    <w:rsid w:val="49384E02"/>
    <w:rsid w:val="493E2F78"/>
    <w:rsid w:val="493F3A9E"/>
    <w:rsid w:val="495217DF"/>
    <w:rsid w:val="49547ADD"/>
    <w:rsid w:val="4958367A"/>
    <w:rsid w:val="4960425F"/>
    <w:rsid w:val="498A16CD"/>
    <w:rsid w:val="498A7FB5"/>
    <w:rsid w:val="499145D9"/>
    <w:rsid w:val="49A33C27"/>
    <w:rsid w:val="49A750B5"/>
    <w:rsid w:val="49B93B41"/>
    <w:rsid w:val="49BE07DA"/>
    <w:rsid w:val="49C32414"/>
    <w:rsid w:val="49C84AA0"/>
    <w:rsid w:val="49CA7400"/>
    <w:rsid w:val="49D7694D"/>
    <w:rsid w:val="49D87799"/>
    <w:rsid w:val="49E27151"/>
    <w:rsid w:val="49F400AC"/>
    <w:rsid w:val="49F9104E"/>
    <w:rsid w:val="4A0244D3"/>
    <w:rsid w:val="4A255046"/>
    <w:rsid w:val="4A2E1525"/>
    <w:rsid w:val="4A5A756D"/>
    <w:rsid w:val="4A722B4C"/>
    <w:rsid w:val="4A785772"/>
    <w:rsid w:val="4A7A7433"/>
    <w:rsid w:val="4A842E43"/>
    <w:rsid w:val="4A886D1D"/>
    <w:rsid w:val="4A89105B"/>
    <w:rsid w:val="4A955EEB"/>
    <w:rsid w:val="4AA341CC"/>
    <w:rsid w:val="4AC13295"/>
    <w:rsid w:val="4AC31003"/>
    <w:rsid w:val="4AC40F4C"/>
    <w:rsid w:val="4AC91D29"/>
    <w:rsid w:val="4AD25F33"/>
    <w:rsid w:val="4AD763B8"/>
    <w:rsid w:val="4ADD641F"/>
    <w:rsid w:val="4AE072CB"/>
    <w:rsid w:val="4AE93159"/>
    <w:rsid w:val="4AED65F4"/>
    <w:rsid w:val="4AF02EA1"/>
    <w:rsid w:val="4B0428AF"/>
    <w:rsid w:val="4B174032"/>
    <w:rsid w:val="4B1C3A76"/>
    <w:rsid w:val="4B1D7328"/>
    <w:rsid w:val="4B250CF8"/>
    <w:rsid w:val="4B2873FD"/>
    <w:rsid w:val="4B3D4DE9"/>
    <w:rsid w:val="4B59618C"/>
    <w:rsid w:val="4B5B2C7E"/>
    <w:rsid w:val="4B6A74A5"/>
    <w:rsid w:val="4B6F1D56"/>
    <w:rsid w:val="4B7C4100"/>
    <w:rsid w:val="4B830F9B"/>
    <w:rsid w:val="4B8F2DD0"/>
    <w:rsid w:val="4B9B06E8"/>
    <w:rsid w:val="4B9B0C47"/>
    <w:rsid w:val="4B9D4011"/>
    <w:rsid w:val="4BA34CD3"/>
    <w:rsid w:val="4BB36BDD"/>
    <w:rsid w:val="4BB60507"/>
    <w:rsid w:val="4BC32290"/>
    <w:rsid w:val="4BC64C9C"/>
    <w:rsid w:val="4BD0339A"/>
    <w:rsid w:val="4BF32495"/>
    <w:rsid w:val="4BFA131A"/>
    <w:rsid w:val="4BFA3FA2"/>
    <w:rsid w:val="4C172533"/>
    <w:rsid w:val="4C1905D9"/>
    <w:rsid w:val="4C2910DF"/>
    <w:rsid w:val="4C2B4DDD"/>
    <w:rsid w:val="4C312198"/>
    <w:rsid w:val="4C336177"/>
    <w:rsid w:val="4C471A55"/>
    <w:rsid w:val="4C562920"/>
    <w:rsid w:val="4C5D1F92"/>
    <w:rsid w:val="4C603F16"/>
    <w:rsid w:val="4C6262E0"/>
    <w:rsid w:val="4C6703A3"/>
    <w:rsid w:val="4C6D7518"/>
    <w:rsid w:val="4C8C1682"/>
    <w:rsid w:val="4C923A72"/>
    <w:rsid w:val="4CAB3057"/>
    <w:rsid w:val="4CB531CC"/>
    <w:rsid w:val="4CB80C32"/>
    <w:rsid w:val="4CB96B0F"/>
    <w:rsid w:val="4CBD582C"/>
    <w:rsid w:val="4CC21369"/>
    <w:rsid w:val="4CD1735E"/>
    <w:rsid w:val="4CE34E9F"/>
    <w:rsid w:val="4CED2821"/>
    <w:rsid w:val="4CF52D94"/>
    <w:rsid w:val="4D075911"/>
    <w:rsid w:val="4D0C6B0F"/>
    <w:rsid w:val="4D1216BD"/>
    <w:rsid w:val="4D231A3E"/>
    <w:rsid w:val="4D2822A5"/>
    <w:rsid w:val="4D3C254D"/>
    <w:rsid w:val="4D4001E4"/>
    <w:rsid w:val="4D462159"/>
    <w:rsid w:val="4D47409F"/>
    <w:rsid w:val="4D525BE3"/>
    <w:rsid w:val="4D566017"/>
    <w:rsid w:val="4D6022FC"/>
    <w:rsid w:val="4D6748C7"/>
    <w:rsid w:val="4D7D3EFB"/>
    <w:rsid w:val="4D883EF9"/>
    <w:rsid w:val="4D8B0123"/>
    <w:rsid w:val="4D907392"/>
    <w:rsid w:val="4D940DD6"/>
    <w:rsid w:val="4DAF14C5"/>
    <w:rsid w:val="4DB9067A"/>
    <w:rsid w:val="4DC605B6"/>
    <w:rsid w:val="4DD732D2"/>
    <w:rsid w:val="4DEC0985"/>
    <w:rsid w:val="4E000105"/>
    <w:rsid w:val="4E0538A3"/>
    <w:rsid w:val="4E0E6818"/>
    <w:rsid w:val="4E27683A"/>
    <w:rsid w:val="4E321D35"/>
    <w:rsid w:val="4E397241"/>
    <w:rsid w:val="4E3C1DE4"/>
    <w:rsid w:val="4E464E00"/>
    <w:rsid w:val="4E4B2E60"/>
    <w:rsid w:val="4E4C50A3"/>
    <w:rsid w:val="4E510698"/>
    <w:rsid w:val="4E576363"/>
    <w:rsid w:val="4E59789B"/>
    <w:rsid w:val="4E5D49B1"/>
    <w:rsid w:val="4E635567"/>
    <w:rsid w:val="4E674786"/>
    <w:rsid w:val="4E6D0F25"/>
    <w:rsid w:val="4E6F309C"/>
    <w:rsid w:val="4E710F05"/>
    <w:rsid w:val="4E742982"/>
    <w:rsid w:val="4E7F1E8F"/>
    <w:rsid w:val="4E862481"/>
    <w:rsid w:val="4E8C4141"/>
    <w:rsid w:val="4E901714"/>
    <w:rsid w:val="4E93511F"/>
    <w:rsid w:val="4E9B4432"/>
    <w:rsid w:val="4E9C0636"/>
    <w:rsid w:val="4E9D29FB"/>
    <w:rsid w:val="4EA30DB6"/>
    <w:rsid w:val="4EA7341F"/>
    <w:rsid w:val="4EB35A3D"/>
    <w:rsid w:val="4ECD2AFD"/>
    <w:rsid w:val="4EDB58B2"/>
    <w:rsid w:val="4EE925CE"/>
    <w:rsid w:val="4EEB1A94"/>
    <w:rsid w:val="4EEF2E30"/>
    <w:rsid w:val="4EF24828"/>
    <w:rsid w:val="4EFE7F59"/>
    <w:rsid w:val="4F0557AF"/>
    <w:rsid w:val="4F285975"/>
    <w:rsid w:val="4F2A1A96"/>
    <w:rsid w:val="4F2A7BF3"/>
    <w:rsid w:val="4F2E2624"/>
    <w:rsid w:val="4F4E1077"/>
    <w:rsid w:val="4F546156"/>
    <w:rsid w:val="4F5B6F39"/>
    <w:rsid w:val="4F621F24"/>
    <w:rsid w:val="4F64780B"/>
    <w:rsid w:val="4F844A99"/>
    <w:rsid w:val="4F94662C"/>
    <w:rsid w:val="4FAB774E"/>
    <w:rsid w:val="4FB00163"/>
    <w:rsid w:val="4FB208E7"/>
    <w:rsid w:val="4FE30332"/>
    <w:rsid w:val="4FE70BB4"/>
    <w:rsid w:val="4FE73C01"/>
    <w:rsid w:val="4FE76D51"/>
    <w:rsid w:val="4FE87C31"/>
    <w:rsid w:val="4FF03F98"/>
    <w:rsid w:val="4FF14DCF"/>
    <w:rsid w:val="4FF62B3F"/>
    <w:rsid w:val="50062EF6"/>
    <w:rsid w:val="5008113B"/>
    <w:rsid w:val="500815B6"/>
    <w:rsid w:val="500A7223"/>
    <w:rsid w:val="500B39BC"/>
    <w:rsid w:val="500C204A"/>
    <w:rsid w:val="501502DD"/>
    <w:rsid w:val="501A2172"/>
    <w:rsid w:val="502173F8"/>
    <w:rsid w:val="5022123F"/>
    <w:rsid w:val="502B7315"/>
    <w:rsid w:val="503E570B"/>
    <w:rsid w:val="503F32CF"/>
    <w:rsid w:val="503F62FD"/>
    <w:rsid w:val="5041152A"/>
    <w:rsid w:val="504A1A7A"/>
    <w:rsid w:val="504C77D2"/>
    <w:rsid w:val="50560460"/>
    <w:rsid w:val="50601A5C"/>
    <w:rsid w:val="507055F2"/>
    <w:rsid w:val="507E1B25"/>
    <w:rsid w:val="508E3B94"/>
    <w:rsid w:val="508E4492"/>
    <w:rsid w:val="5090223F"/>
    <w:rsid w:val="50924591"/>
    <w:rsid w:val="50943125"/>
    <w:rsid w:val="50A578DE"/>
    <w:rsid w:val="50A649F5"/>
    <w:rsid w:val="50AB5EB6"/>
    <w:rsid w:val="50AD494C"/>
    <w:rsid w:val="50AE6FE2"/>
    <w:rsid w:val="50B16618"/>
    <w:rsid w:val="50BB6306"/>
    <w:rsid w:val="50C12EDC"/>
    <w:rsid w:val="50CD2E4B"/>
    <w:rsid w:val="50D8533B"/>
    <w:rsid w:val="50DA0A9E"/>
    <w:rsid w:val="50ED21B8"/>
    <w:rsid w:val="50F31CB9"/>
    <w:rsid w:val="50F66F3D"/>
    <w:rsid w:val="50F8688B"/>
    <w:rsid w:val="50FC4E36"/>
    <w:rsid w:val="51002FFC"/>
    <w:rsid w:val="5105169B"/>
    <w:rsid w:val="51062881"/>
    <w:rsid w:val="510861B3"/>
    <w:rsid w:val="510956BD"/>
    <w:rsid w:val="5114696C"/>
    <w:rsid w:val="5121766A"/>
    <w:rsid w:val="51230220"/>
    <w:rsid w:val="513E7AC2"/>
    <w:rsid w:val="513F6CC6"/>
    <w:rsid w:val="51471753"/>
    <w:rsid w:val="514E4912"/>
    <w:rsid w:val="515400FF"/>
    <w:rsid w:val="515441FE"/>
    <w:rsid w:val="515D735D"/>
    <w:rsid w:val="5161556E"/>
    <w:rsid w:val="51631E12"/>
    <w:rsid w:val="516A5418"/>
    <w:rsid w:val="516F4764"/>
    <w:rsid w:val="51781A83"/>
    <w:rsid w:val="51867298"/>
    <w:rsid w:val="51894D69"/>
    <w:rsid w:val="518D21E1"/>
    <w:rsid w:val="518E6224"/>
    <w:rsid w:val="51930297"/>
    <w:rsid w:val="51953936"/>
    <w:rsid w:val="519E116A"/>
    <w:rsid w:val="51A2793A"/>
    <w:rsid w:val="51AF3CDC"/>
    <w:rsid w:val="51B10868"/>
    <w:rsid w:val="51B71820"/>
    <w:rsid w:val="51BA0CB7"/>
    <w:rsid w:val="51CA4619"/>
    <w:rsid w:val="51D129CA"/>
    <w:rsid w:val="51D75253"/>
    <w:rsid w:val="51D93F8A"/>
    <w:rsid w:val="51E5046A"/>
    <w:rsid w:val="51F6353C"/>
    <w:rsid w:val="520D7B42"/>
    <w:rsid w:val="52175F05"/>
    <w:rsid w:val="52272B85"/>
    <w:rsid w:val="52284E31"/>
    <w:rsid w:val="522A5519"/>
    <w:rsid w:val="523E09B5"/>
    <w:rsid w:val="524053B4"/>
    <w:rsid w:val="52431715"/>
    <w:rsid w:val="52687B2A"/>
    <w:rsid w:val="526E0E82"/>
    <w:rsid w:val="527901C6"/>
    <w:rsid w:val="528241AF"/>
    <w:rsid w:val="52831D64"/>
    <w:rsid w:val="528F4A24"/>
    <w:rsid w:val="52944BB6"/>
    <w:rsid w:val="529C012B"/>
    <w:rsid w:val="52A24532"/>
    <w:rsid w:val="52A611A1"/>
    <w:rsid w:val="52AB02F9"/>
    <w:rsid w:val="52AB4331"/>
    <w:rsid w:val="52B24D9E"/>
    <w:rsid w:val="52B3363A"/>
    <w:rsid w:val="52C33084"/>
    <w:rsid w:val="52C4763C"/>
    <w:rsid w:val="52C552C3"/>
    <w:rsid w:val="52CE7860"/>
    <w:rsid w:val="52D102DF"/>
    <w:rsid w:val="52DE691D"/>
    <w:rsid w:val="52E04D27"/>
    <w:rsid w:val="52ED0C96"/>
    <w:rsid w:val="52EE10AF"/>
    <w:rsid w:val="53061721"/>
    <w:rsid w:val="530C0E6B"/>
    <w:rsid w:val="530C41A5"/>
    <w:rsid w:val="531C3F9F"/>
    <w:rsid w:val="532F77EA"/>
    <w:rsid w:val="53367575"/>
    <w:rsid w:val="533933AA"/>
    <w:rsid w:val="533B7F54"/>
    <w:rsid w:val="533D2D66"/>
    <w:rsid w:val="535009E1"/>
    <w:rsid w:val="53650168"/>
    <w:rsid w:val="53665DA9"/>
    <w:rsid w:val="536C2A29"/>
    <w:rsid w:val="536E571F"/>
    <w:rsid w:val="538859E4"/>
    <w:rsid w:val="538E3092"/>
    <w:rsid w:val="53902F6B"/>
    <w:rsid w:val="539F394B"/>
    <w:rsid w:val="53A20FFA"/>
    <w:rsid w:val="53A233E4"/>
    <w:rsid w:val="53A63AE8"/>
    <w:rsid w:val="53A94C48"/>
    <w:rsid w:val="53AA7BC7"/>
    <w:rsid w:val="53AE5EA5"/>
    <w:rsid w:val="53B00B1F"/>
    <w:rsid w:val="53B2409D"/>
    <w:rsid w:val="53B31E73"/>
    <w:rsid w:val="53BD0731"/>
    <w:rsid w:val="53BF4252"/>
    <w:rsid w:val="53D05542"/>
    <w:rsid w:val="53D5647F"/>
    <w:rsid w:val="53D6247A"/>
    <w:rsid w:val="53DB3477"/>
    <w:rsid w:val="53DE00FF"/>
    <w:rsid w:val="53E656AF"/>
    <w:rsid w:val="53E77CBF"/>
    <w:rsid w:val="53FE7128"/>
    <w:rsid w:val="54201800"/>
    <w:rsid w:val="54247F22"/>
    <w:rsid w:val="5427150F"/>
    <w:rsid w:val="542B1B24"/>
    <w:rsid w:val="542B76D0"/>
    <w:rsid w:val="542C29CD"/>
    <w:rsid w:val="542F1551"/>
    <w:rsid w:val="54381756"/>
    <w:rsid w:val="545750B7"/>
    <w:rsid w:val="545A1EBF"/>
    <w:rsid w:val="545E39AA"/>
    <w:rsid w:val="54602EAD"/>
    <w:rsid w:val="5460437B"/>
    <w:rsid w:val="54727478"/>
    <w:rsid w:val="54B06F11"/>
    <w:rsid w:val="54B56DF4"/>
    <w:rsid w:val="54B93943"/>
    <w:rsid w:val="54BE5578"/>
    <w:rsid w:val="54BF52B5"/>
    <w:rsid w:val="54D202CA"/>
    <w:rsid w:val="54D54E59"/>
    <w:rsid w:val="54DD41DB"/>
    <w:rsid w:val="54ED3D78"/>
    <w:rsid w:val="54F52BA3"/>
    <w:rsid w:val="54F54E04"/>
    <w:rsid w:val="550B4121"/>
    <w:rsid w:val="550D5CFC"/>
    <w:rsid w:val="550F3357"/>
    <w:rsid w:val="55126CC5"/>
    <w:rsid w:val="55197997"/>
    <w:rsid w:val="551A4479"/>
    <w:rsid w:val="551B7F0A"/>
    <w:rsid w:val="552A6B56"/>
    <w:rsid w:val="55314F13"/>
    <w:rsid w:val="5532385A"/>
    <w:rsid w:val="55333717"/>
    <w:rsid w:val="55381D42"/>
    <w:rsid w:val="55401B14"/>
    <w:rsid w:val="554748F2"/>
    <w:rsid w:val="554D414C"/>
    <w:rsid w:val="554E7279"/>
    <w:rsid w:val="55594FFB"/>
    <w:rsid w:val="55637CEB"/>
    <w:rsid w:val="55677DDA"/>
    <w:rsid w:val="556A71C0"/>
    <w:rsid w:val="55757FB9"/>
    <w:rsid w:val="55884237"/>
    <w:rsid w:val="558B1E31"/>
    <w:rsid w:val="558C7FAA"/>
    <w:rsid w:val="55900510"/>
    <w:rsid w:val="55947881"/>
    <w:rsid w:val="55A25EB7"/>
    <w:rsid w:val="55A82784"/>
    <w:rsid w:val="55A97512"/>
    <w:rsid w:val="55B63FD5"/>
    <w:rsid w:val="55C35A76"/>
    <w:rsid w:val="55D40743"/>
    <w:rsid w:val="55DD6F2A"/>
    <w:rsid w:val="55E73480"/>
    <w:rsid w:val="55E8339E"/>
    <w:rsid w:val="55F06771"/>
    <w:rsid w:val="560C022B"/>
    <w:rsid w:val="560D5F48"/>
    <w:rsid w:val="56106284"/>
    <w:rsid w:val="56182852"/>
    <w:rsid w:val="5632642A"/>
    <w:rsid w:val="56375B61"/>
    <w:rsid w:val="564944F4"/>
    <w:rsid w:val="564E5820"/>
    <w:rsid w:val="565104C5"/>
    <w:rsid w:val="56630C00"/>
    <w:rsid w:val="56721038"/>
    <w:rsid w:val="567739D2"/>
    <w:rsid w:val="56775A0A"/>
    <w:rsid w:val="5686536D"/>
    <w:rsid w:val="568B1DB1"/>
    <w:rsid w:val="56A55214"/>
    <w:rsid w:val="56A67978"/>
    <w:rsid w:val="56AC63C5"/>
    <w:rsid w:val="56C1700B"/>
    <w:rsid w:val="56C56513"/>
    <w:rsid w:val="56CF48FB"/>
    <w:rsid w:val="56D25618"/>
    <w:rsid w:val="56D5675C"/>
    <w:rsid w:val="56D7644B"/>
    <w:rsid w:val="56E373D5"/>
    <w:rsid w:val="56E81FA0"/>
    <w:rsid w:val="56E84A97"/>
    <w:rsid w:val="56F05010"/>
    <w:rsid w:val="56FB2A68"/>
    <w:rsid w:val="57011F3E"/>
    <w:rsid w:val="57050D7B"/>
    <w:rsid w:val="5705646B"/>
    <w:rsid w:val="57060649"/>
    <w:rsid w:val="572657E3"/>
    <w:rsid w:val="5732705F"/>
    <w:rsid w:val="57351D6F"/>
    <w:rsid w:val="573B7F99"/>
    <w:rsid w:val="576476C1"/>
    <w:rsid w:val="576E1940"/>
    <w:rsid w:val="57756BF9"/>
    <w:rsid w:val="57770501"/>
    <w:rsid w:val="577B3337"/>
    <w:rsid w:val="577D4F28"/>
    <w:rsid w:val="578B1816"/>
    <w:rsid w:val="57A33734"/>
    <w:rsid w:val="57AB6ADD"/>
    <w:rsid w:val="57B7178E"/>
    <w:rsid w:val="57B76EED"/>
    <w:rsid w:val="57BD72A7"/>
    <w:rsid w:val="57BE5838"/>
    <w:rsid w:val="57BF764E"/>
    <w:rsid w:val="57CB35DF"/>
    <w:rsid w:val="57D82354"/>
    <w:rsid w:val="57FC0156"/>
    <w:rsid w:val="57FC07D9"/>
    <w:rsid w:val="57FF6992"/>
    <w:rsid w:val="58036FF1"/>
    <w:rsid w:val="580F1B21"/>
    <w:rsid w:val="581B7E79"/>
    <w:rsid w:val="5837438C"/>
    <w:rsid w:val="58420FA1"/>
    <w:rsid w:val="58500F22"/>
    <w:rsid w:val="58587379"/>
    <w:rsid w:val="585D72B5"/>
    <w:rsid w:val="586D57A3"/>
    <w:rsid w:val="587917A0"/>
    <w:rsid w:val="587A4288"/>
    <w:rsid w:val="5880052B"/>
    <w:rsid w:val="588E3967"/>
    <w:rsid w:val="589E7444"/>
    <w:rsid w:val="58AD27D9"/>
    <w:rsid w:val="58B169A2"/>
    <w:rsid w:val="58B9636C"/>
    <w:rsid w:val="58C37133"/>
    <w:rsid w:val="58C93046"/>
    <w:rsid w:val="58D36BCB"/>
    <w:rsid w:val="58D8157C"/>
    <w:rsid w:val="58E11166"/>
    <w:rsid w:val="58E6349C"/>
    <w:rsid w:val="58E83DEC"/>
    <w:rsid w:val="58EF63EE"/>
    <w:rsid w:val="590317F0"/>
    <w:rsid w:val="59075000"/>
    <w:rsid w:val="593559FD"/>
    <w:rsid w:val="593A4D15"/>
    <w:rsid w:val="594079B2"/>
    <w:rsid w:val="595B45EE"/>
    <w:rsid w:val="595C4A81"/>
    <w:rsid w:val="596A688E"/>
    <w:rsid w:val="59860400"/>
    <w:rsid w:val="5987482A"/>
    <w:rsid w:val="598A58C2"/>
    <w:rsid w:val="598C6F19"/>
    <w:rsid w:val="599C49A8"/>
    <w:rsid w:val="59A252D5"/>
    <w:rsid w:val="59A36725"/>
    <w:rsid w:val="59AD4E2E"/>
    <w:rsid w:val="59B14918"/>
    <w:rsid w:val="59B21BF9"/>
    <w:rsid w:val="59B37D53"/>
    <w:rsid w:val="59B80C41"/>
    <w:rsid w:val="59BB4EA3"/>
    <w:rsid w:val="59E9525B"/>
    <w:rsid w:val="59F70BAF"/>
    <w:rsid w:val="5A0627A6"/>
    <w:rsid w:val="5A297D0D"/>
    <w:rsid w:val="5A3C0F08"/>
    <w:rsid w:val="5A3E5B83"/>
    <w:rsid w:val="5A50588C"/>
    <w:rsid w:val="5A5663A3"/>
    <w:rsid w:val="5A5706C7"/>
    <w:rsid w:val="5A571746"/>
    <w:rsid w:val="5A594793"/>
    <w:rsid w:val="5A5B6E89"/>
    <w:rsid w:val="5A6253E3"/>
    <w:rsid w:val="5A641DE9"/>
    <w:rsid w:val="5A746DF6"/>
    <w:rsid w:val="5A8E6670"/>
    <w:rsid w:val="5A912613"/>
    <w:rsid w:val="5A9245E9"/>
    <w:rsid w:val="5A953D41"/>
    <w:rsid w:val="5AA12940"/>
    <w:rsid w:val="5AA75D85"/>
    <w:rsid w:val="5AAB08D2"/>
    <w:rsid w:val="5AB7299D"/>
    <w:rsid w:val="5ABC50F4"/>
    <w:rsid w:val="5ACC4940"/>
    <w:rsid w:val="5ACD3CD2"/>
    <w:rsid w:val="5AD7333E"/>
    <w:rsid w:val="5AD86A6D"/>
    <w:rsid w:val="5ADF4325"/>
    <w:rsid w:val="5AE8708E"/>
    <w:rsid w:val="5AEB6283"/>
    <w:rsid w:val="5AEC14F6"/>
    <w:rsid w:val="5AF124A4"/>
    <w:rsid w:val="5B0A4D6B"/>
    <w:rsid w:val="5B141085"/>
    <w:rsid w:val="5B266C40"/>
    <w:rsid w:val="5B28192B"/>
    <w:rsid w:val="5B342BAD"/>
    <w:rsid w:val="5B392581"/>
    <w:rsid w:val="5B4007EF"/>
    <w:rsid w:val="5B4D1F7C"/>
    <w:rsid w:val="5B51561D"/>
    <w:rsid w:val="5B570E24"/>
    <w:rsid w:val="5B607711"/>
    <w:rsid w:val="5B637E94"/>
    <w:rsid w:val="5B66707B"/>
    <w:rsid w:val="5B673066"/>
    <w:rsid w:val="5B6A48A8"/>
    <w:rsid w:val="5B731FA9"/>
    <w:rsid w:val="5B7400F5"/>
    <w:rsid w:val="5B785E83"/>
    <w:rsid w:val="5B7C1CD1"/>
    <w:rsid w:val="5B9004A9"/>
    <w:rsid w:val="5B907C6C"/>
    <w:rsid w:val="5B9251EF"/>
    <w:rsid w:val="5BAB5BC4"/>
    <w:rsid w:val="5BAC79AD"/>
    <w:rsid w:val="5BB20B74"/>
    <w:rsid w:val="5BB33170"/>
    <w:rsid w:val="5BC677D8"/>
    <w:rsid w:val="5BD0669E"/>
    <w:rsid w:val="5BEB0120"/>
    <w:rsid w:val="5BEC175C"/>
    <w:rsid w:val="5BEF3E44"/>
    <w:rsid w:val="5BEF69FF"/>
    <w:rsid w:val="5C053E62"/>
    <w:rsid w:val="5C064BA0"/>
    <w:rsid w:val="5C07067E"/>
    <w:rsid w:val="5C075BB6"/>
    <w:rsid w:val="5C097C4E"/>
    <w:rsid w:val="5C1A3A93"/>
    <w:rsid w:val="5C1C3059"/>
    <w:rsid w:val="5C235386"/>
    <w:rsid w:val="5C2A4E9F"/>
    <w:rsid w:val="5C37782E"/>
    <w:rsid w:val="5C3B6CFC"/>
    <w:rsid w:val="5C4735D5"/>
    <w:rsid w:val="5C4C2CF4"/>
    <w:rsid w:val="5C5E6BCC"/>
    <w:rsid w:val="5C6B1600"/>
    <w:rsid w:val="5C6E26BF"/>
    <w:rsid w:val="5C706511"/>
    <w:rsid w:val="5C7D70D1"/>
    <w:rsid w:val="5C8542A8"/>
    <w:rsid w:val="5C93251D"/>
    <w:rsid w:val="5CA6294E"/>
    <w:rsid w:val="5CCC1DEC"/>
    <w:rsid w:val="5CDB3358"/>
    <w:rsid w:val="5CED4E0C"/>
    <w:rsid w:val="5CEE1DD1"/>
    <w:rsid w:val="5CFB31F2"/>
    <w:rsid w:val="5CFF09AB"/>
    <w:rsid w:val="5D034EE9"/>
    <w:rsid w:val="5D0366E8"/>
    <w:rsid w:val="5D08684C"/>
    <w:rsid w:val="5D0A06B6"/>
    <w:rsid w:val="5D1307E8"/>
    <w:rsid w:val="5D1368E3"/>
    <w:rsid w:val="5D212A05"/>
    <w:rsid w:val="5D28584C"/>
    <w:rsid w:val="5D2F4802"/>
    <w:rsid w:val="5D32239D"/>
    <w:rsid w:val="5D3444E6"/>
    <w:rsid w:val="5D3543FB"/>
    <w:rsid w:val="5D3F0BDF"/>
    <w:rsid w:val="5D5B7098"/>
    <w:rsid w:val="5D5D62C9"/>
    <w:rsid w:val="5D611B66"/>
    <w:rsid w:val="5D634782"/>
    <w:rsid w:val="5D654194"/>
    <w:rsid w:val="5D6E1B86"/>
    <w:rsid w:val="5D725A84"/>
    <w:rsid w:val="5D746389"/>
    <w:rsid w:val="5D7706E8"/>
    <w:rsid w:val="5D7D3801"/>
    <w:rsid w:val="5D8A2CFF"/>
    <w:rsid w:val="5D960EE9"/>
    <w:rsid w:val="5D9A0CFA"/>
    <w:rsid w:val="5D9B296A"/>
    <w:rsid w:val="5D9C251B"/>
    <w:rsid w:val="5DA53D05"/>
    <w:rsid w:val="5DB765B6"/>
    <w:rsid w:val="5DC848B4"/>
    <w:rsid w:val="5DD14397"/>
    <w:rsid w:val="5DD3123F"/>
    <w:rsid w:val="5DD45E00"/>
    <w:rsid w:val="5DD564E5"/>
    <w:rsid w:val="5DD71C7A"/>
    <w:rsid w:val="5DD734EC"/>
    <w:rsid w:val="5DDA4F5F"/>
    <w:rsid w:val="5DDF6E6E"/>
    <w:rsid w:val="5DEC05A1"/>
    <w:rsid w:val="5DEE0433"/>
    <w:rsid w:val="5DFD51DB"/>
    <w:rsid w:val="5E0B017F"/>
    <w:rsid w:val="5E0B0848"/>
    <w:rsid w:val="5E1D4A67"/>
    <w:rsid w:val="5E1F2E4C"/>
    <w:rsid w:val="5E237029"/>
    <w:rsid w:val="5E3358BB"/>
    <w:rsid w:val="5E3A3BD1"/>
    <w:rsid w:val="5E4E2212"/>
    <w:rsid w:val="5E4F1C2F"/>
    <w:rsid w:val="5E4F4B48"/>
    <w:rsid w:val="5E5203B8"/>
    <w:rsid w:val="5E53474B"/>
    <w:rsid w:val="5E5D2503"/>
    <w:rsid w:val="5E5D7D0E"/>
    <w:rsid w:val="5E6A5399"/>
    <w:rsid w:val="5E71373F"/>
    <w:rsid w:val="5E717191"/>
    <w:rsid w:val="5E7435D2"/>
    <w:rsid w:val="5E830708"/>
    <w:rsid w:val="5E831398"/>
    <w:rsid w:val="5E85633A"/>
    <w:rsid w:val="5E921A45"/>
    <w:rsid w:val="5E975294"/>
    <w:rsid w:val="5E975993"/>
    <w:rsid w:val="5EA75DFF"/>
    <w:rsid w:val="5EB51FDE"/>
    <w:rsid w:val="5EBA4472"/>
    <w:rsid w:val="5EC3227D"/>
    <w:rsid w:val="5EC504C9"/>
    <w:rsid w:val="5EC93320"/>
    <w:rsid w:val="5ECA3D37"/>
    <w:rsid w:val="5EE153F8"/>
    <w:rsid w:val="5EE836CB"/>
    <w:rsid w:val="5EEA322F"/>
    <w:rsid w:val="5EED7893"/>
    <w:rsid w:val="5EF427A1"/>
    <w:rsid w:val="5EFB2125"/>
    <w:rsid w:val="5EFB6F0A"/>
    <w:rsid w:val="5F0A3A61"/>
    <w:rsid w:val="5F114A3D"/>
    <w:rsid w:val="5F3370DF"/>
    <w:rsid w:val="5F683B6E"/>
    <w:rsid w:val="5F684490"/>
    <w:rsid w:val="5F697EE8"/>
    <w:rsid w:val="5F6D06D6"/>
    <w:rsid w:val="5F6E768C"/>
    <w:rsid w:val="5F875C0C"/>
    <w:rsid w:val="5F8A0701"/>
    <w:rsid w:val="5F8F0B9E"/>
    <w:rsid w:val="5F8F267A"/>
    <w:rsid w:val="5F941274"/>
    <w:rsid w:val="5F99518A"/>
    <w:rsid w:val="5F9A540B"/>
    <w:rsid w:val="5FAB7F08"/>
    <w:rsid w:val="5FB7185B"/>
    <w:rsid w:val="5FB94C48"/>
    <w:rsid w:val="5FBE576C"/>
    <w:rsid w:val="5FDE327E"/>
    <w:rsid w:val="5FEB4E90"/>
    <w:rsid w:val="5FF37587"/>
    <w:rsid w:val="5FF85D1E"/>
    <w:rsid w:val="5FFE57B7"/>
    <w:rsid w:val="60060CD5"/>
    <w:rsid w:val="60085AA3"/>
    <w:rsid w:val="600E362B"/>
    <w:rsid w:val="60183392"/>
    <w:rsid w:val="601A4CB1"/>
    <w:rsid w:val="601B56CB"/>
    <w:rsid w:val="60237FFC"/>
    <w:rsid w:val="602C236D"/>
    <w:rsid w:val="603114E4"/>
    <w:rsid w:val="603967D7"/>
    <w:rsid w:val="603D3325"/>
    <w:rsid w:val="604040A8"/>
    <w:rsid w:val="60470CE3"/>
    <w:rsid w:val="60485D19"/>
    <w:rsid w:val="604D29BA"/>
    <w:rsid w:val="606711B4"/>
    <w:rsid w:val="60673C40"/>
    <w:rsid w:val="606A52D4"/>
    <w:rsid w:val="606C5678"/>
    <w:rsid w:val="607A0897"/>
    <w:rsid w:val="607C3753"/>
    <w:rsid w:val="607F6EAB"/>
    <w:rsid w:val="608D1D4E"/>
    <w:rsid w:val="60911FEF"/>
    <w:rsid w:val="60923D36"/>
    <w:rsid w:val="6092569C"/>
    <w:rsid w:val="609D0F5A"/>
    <w:rsid w:val="60AC72CC"/>
    <w:rsid w:val="60AD0357"/>
    <w:rsid w:val="60B004BE"/>
    <w:rsid w:val="60B6381B"/>
    <w:rsid w:val="60BA604C"/>
    <w:rsid w:val="60C302BA"/>
    <w:rsid w:val="60C30855"/>
    <w:rsid w:val="60C338B1"/>
    <w:rsid w:val="60D4742F"/>
    <w:rsid w:val="60D67C80"/>
    <w:rsid w:val="60D95276"/>
    <w:rsid w:val="60E06DEB"/>
    <w:rsid w:val="60E51841"/>
    <w:rsid w:val="61110088"/>
    <w:rsid w:val="611647A0"/>
    <w:rsid w:val="61421EFD"/>
    <w:rsid w:val="614F6F7E"/>
    <w:rsid w:val="615C5041"/>
    <w:rsid w:val="61640524"/>
    <w:rsid w:val="617A6EE7"/>
    <w:rsid w:val="617B616B"/>
    <w:rsid w:val="6182260C"/>
    <w:rsid w:val="6190565E"/>
    <w:rsid w:val="61AA2608"/>
    <w:rsid w:val="61AD68BC"/>
    <w:rsid w:val="61AE786E"/>
    <w:rsid w:val="61B173D2"/>
    <w:rsid w:val="61B25E8F"/>
    <w:rsid w:val="61BC4BE1"/>
    <w:rsid w:val="61C12DE2"/>
    <w:rsid w:val="61D43A2B"/>
    <w:rsid w:val="61E34474"/>
    <w:rsid w:val="61ED6D6A"/>
    <w:rsid w:val="61FF316E"/>
    <w:rsid w:val="62014BDB"/>
    <w:rsid w:val="621542CB"/>
    <w:rsid w:val="621C2930"/>
    <w:rsid w:val="624263A2"/>
    <w:rsid w:val="625272C3"/>
    <w:rsid w:val="626A1B4F"/>
    <w:rsid w:val="62715337"/>
    <w:rsid w:val="6280204D"/>
    <w:rsid w:val="6290769B"/>
    <w:rsid w:val="62943D08"/>
    <w:rsid w:val="629718F1"/>
    <w:rsid w:val="62A05735"/>
    <w:rsid w:val="62A411F8"/>
    <w:rsid w:val="62A81A26"/>
    <w:rsid w:val="62B0109F"/>
    <w:rsid w:val="62BA7A46"/>
    <w:rsid w:val="62C376AC"/>
    <w:rsid w:val="62CE13CB"/>
    <w:rsid w:val="62D2197B"/>
    <w:rsid w:val="62DB028F"/>
    <w:rsid w:val="62EE4623"/>
    <w:rsid w:val="62F214BD"/>
    <w:rsid w:val="62F6011A"/>
    <w:rsid w:val="62FD2BA9"/>
    <w:rsid w:val="6327422B"/>
    <w:rsid w:val="6328597C"/>
    <w:rsid w:val="633B249F"/>
    <w:rsid w:val="633D1842"/>
    <w:rsid w:val="635123F0"/>
    <w:rsid w:val="63552D76"/>
    <w:rsid w:val="6359778B"/>
    <w:rsid w:val="635B63E3"/>
    <w:rsid w:val="63677698"/>
    <w:rsid w:val="63771D13"/>
    <w:rsid w:val="638C3395"/>
    <w:rsid w:val="63B37325"/>
    <w:rsid w:val="63B82D87"/>
    <w:rsid w:val="63BA3154"/>
    <w:rsid w:val="63C509F9"/>
    <w:rsid w:val="63CA2E8B"/>
    <w:rsid w:val="63CF097D"/>
    <w:rsid w:val="63D4153E"/>
    <w:rsid w:val="63DA0FA3"/>
    <w:rsid w:val="63DC7755"/>
    <w:rsid w:val="63E43D21"/>
    <w:rsid w:val="63E774B3"/>
    <w:rsid w:val="63F47D2A"/>
    <w:rsid w:val="63F6335E"/>
    <w:rsid w:val="63FE2D33"/>
    <w:rsid w:val="64046427"/>
    <w:rsid w:val="640B5788"/>
    <w:rsid w:val="642369FC"/>
    <w:rsid w:val="64254882"/>
    <w:rsid w:val="64264A79"/>
    <w:rsid w:val="642A38B2"/>
    <w:rsid w:val="64304E58"/>
    <w:rsid w:val="64311867"/>
    <w:rsid w:val="64391ED3"/>
    <w:rsid w:val="6445632E"/>
    <w:rsid w:val="64566F9D"/>
    <w:rsid w:val="64596CB3"/>
    <w:rsid w:val="64742B63"/>
    <w:rsid w:val="647949B0"/>
    <w:rsid w:val="647E661E"/>
    <w:rsid w:val="648939AA"/>
    <w:rsid w:val="648C635C"/>
    <w:rsid w:val="64941876"/>
    <w:rsid w:val="649B1AC2"/>
    <w:rsid w:val="649B4C1C"/>
    <w:rsid w:val="64A7467B"/>
    <w:rsid w:val="64B53322"/>
    <w:rsid w:val="64C41B57"/>
    <w:rsid w:val="64C61AF8"/>
    <w:rsid w:val="64C86505"/>
    <w:rsid w:val="64E65F95"/>
    <w:rsid w:val="64EB5728"/>
    <w:rsid w:val="64FA211B"/>
    <w:rsid w:val="64FB4412"/>
    <w:rsid w:val="64FE700F"/>
    <w:rsid w:val="6500327F"/>
    <w:rsid w:val="6503698F"/>
    <w:rsid w:val="6506609B"/>
    <w:rsid w:val="65083216"/>
    <w:rsid w:val="650A57D3"/>
    <w:rsid w:val="65460728"/>
    <w:rsid w:val="654835A8"/>
    <w:rsid w:val="654C7056"/>
    <w:rsid w:val="65733E15"/>
    <w:rsid w:val="65822810"/>
    <w:rsid w:val="65870C45"/>
    <w:rsid w:val="658F6B54"/>
    <w:rsid w:val="659705FF"/>
    <w:rsid w:val="659C60A2"/>
    <w:rsid w:val="65A47504"/>
    <w:rsid w:val="65AA6346"/>
    <w:rsid w:val="65B01B69"/>
    <w:rsid w:val="65B56C47"/>
    <w:rsid w:val="65B7794D"/>
    <w:rsid w:val="65B8262E"/>
    <w:rsid w:val="65BC15EE"/>
    <w:rsid w:val="65D23D59"/>
    <w:rsid w:val="65D4773F"/>
    <w:rsid w:val="65DC5939"/>
    <w:rsid w:val="65DC7985"/>
    <w:rsid w:val="65F14641"/>
    <w:rsid w:val="65F5655C"/>
    <w:rsid w:val="65F64F18"/>
    <w:rsid w:val="65FF118E"/>
    <w:rsid w:val="66052F43"/>
    <w:rsid w:val="66065483"/>
    <w:rsid w:val="6609487E"/>
    <w:rsid w:val="661D25CE"/>
    <w:rsid w:val="66206CF2"/>
    <w:rsid w:val="66265846"/>
    <w:rsid w:val="66287C9C"/>
    <w:rsid w:val="662E4097"/>
    <w:rsid w:val="664805B8"/>
    <w:rsid w:val="665572E9"/>
    <w:rsid w:val="665B14BD"/>
    <w:rsid w:val="665B55EA"/>
    <w:rsid w:val="66641D58"/>
    <w:rsid w:val="66655F85"/>
    <w:rsid w:val="667C7AEC"/>
    <w:rsid w:val="667F71BA"/>
    <w:rsid w:val="66863A0F"/>
    <w:rsid w:val="66984358"/>
    <w:rsid w:val="669B7C76"/>
    <w:rsid w:val="66A200F8"/>
    <w:rsid w:val="66A205F5"/>
    <w:rsid w:val="66A30EC2"/>
    <w:rsid w:val="66AA4BA8"/>
    <w:rsid w:val="66C56058"/>
    <w:rsid w:val="66C955BD"/>
    <w:rsid w:val="66CF3182"/>
    <w:rsid w:val="66D97420"/>
    <w:rsid w:val="66DC317D"/>
    <w:rsid w:val="66DD5461"/>
    <w:rsid w:val="66E10E78"/>
    <w:rsid w:val="66E617C5"/>
    <w:rsid w:val="66E910C9"/>
    <w:rsid w:val="670C6D27"/>
    <w:rsid w:val="670D67CE"/>
    <w:rsid w:val="67105BAB"/>
    <w:rsid w:val="671762A2"/>
    <w:rsid w:val="671B1631"/>
    <w:rsid w:val="672C45D9"/>
    <w:rsid w:val="67302DC3"/>
    <w:rsid w:val="67316C6B"/>
    <w:rsid w:val="6734198F"/>
    <w:rsid w:val="674318B2"/>
    <w:rsid w:val="674D4B22"/>
    <w:rsid w:val="67570422"/>
    <w:rsid w:val="675D31B4"/>
    <w:rsid w:val="67611575"/>
    <w:rsid w:val="676D2F4B"/>
    <w:rsid w:val="677A266A"/>
    <w:rsid w:val="677C1A81"/>
    <w:rsid w:val="677E7198"/>
    <w:rsid w:val="678A426A"/>
    <w:rsid w:val="67914BE1"/>
    <w:rsid w:val="679305CA"/>
    <w:rsid w:val="679348FA"/>
    <w:rsid w:val="67A01F16"/>
    <w:rsid w:val="67A2026E"/>
    <w:rsid w:val="67AD0902"/>
    <w:rsid w:val="67B163D1"/>
    <w:rsid w:val="67B21931"/>
    <w:rsid w:val="67CF3BE0"/>
    <w:rsid w:val="67D1123C"/>
    <w:rsid w:val="67DE0B68"/>
    <w:rsid w:val="67F45538"/>
    <w:rsid w:val="67F67092"/>
    <w:rsid w:val="68005932"/>
    <w:rsid w:val="680239EB"/>
    <w:rsid w:val="680722DA"/>
    <w:rsid w:val="68075891"/>
    <w:rsid w:val="68096B99"/>
    <w:rsid w:val="681C6C95"/>
    <w:rsid w:val="682211D1"/>
    <w:rsid w:val="68445430"/>
    <w:rsid w:val="685B0620"/>
    <w:rsid w:val="685C6395"/>
    <w:rsid w:val="686318DD"/>
    <w:rsid w:val="68635145"/>
    <w:rsid w:val="686D19A4"/>
    <w:rsid w:val="687914A4"/>
    <w:rsid w:val="687F607E"/>
    <w:rsid w:val="6887281F"/>
    <w:rsid w:val="688B4E92"/>
    <w:rsid w:val="689565AD"/>
    <w:rsid w:val="689A41FB"/>
    <w:rsid w:val="689E57F0"/>
    <w:rsid w:val="68A34C5C"/>
    <w:rsid w:val="68CA6EAF"/>
    <w:rsid w:val="68D10697"/>
    <w:rsid w:val="68D507C6"/>
    <w:rsid w:val="68E24981"/>
    <w:rsid w:val="68E62C62"/>
    <w:rsid w:val="68ED60A5"/>
    <w:rsid w:val="69123F86"/>
    <w:rsid w:val="691C1D81"/>
    <w:rsid w:val="691C3525"/>
    <w:rsid w:val="691C4B46"/>
    <w:rsid w:val="69216128"/>
    <w:rsid w:val="69250799"/>
    <w:rsid w:val="69280874"/>
    <w:rsid w:val="692E74C3"/>
    <w:rsid w:val="69307671"/>
    <w:rsid w:val="695D6B21"/>
    <w:rsid w:val="69611EE7"/>
    <w:rsid w:val="69621F5B"/>
    <w:rsid w:val="696C708E"/>
    <w:rsid w:val="696F4D5D"/>
    <w:rsid w:val="69850877"/>
    <w:rsid w:val="698C13C5"/>
    <w:rsid w:val="69C12919"/>
    <w:rsid w:val="69EB1E1E"/>
    <w:rsid w:val="69F0745A"/>
    <w:rsid w:val="6A0D20F2"/>
    <w:rsid w:val="6A1757B7"/>
    <w:rsid w:val="6A1A2066"/>
    <w:rsid w:val="6A1D59EC"/>
    <w:rsid w:val="6A247F72"/>
    <w:rsid w:val="6A2E5EF8"/>
    <w:rsid w:val="6A3A6D15"/>
    <w:rsid w:val="6A3E2393"/>
    <w:rsid w:val="6A435B92"/>
    <w:rsid w:val="6A444DB8"/>
    <w:rsid w:val="6A471880"/>
    <w:rsid w:val="6A4C28F4"/>
    <w:rsid w:val="6A4D4828"/>
    <w:rsid w:val="6A516AC3"/>
    <w:rsid w:val="6A5303BA"/>
    <w:rsid w:val="6A5B28ED"/>
    <w:rsid w:val="6A677080"/>
    <w:rsid w:val="6A711183"/>
    <w:rsid w:val="6A720BCF"/>
    <w:rsid w:val="6A7B4B9C"/>
    <w:rsid w:val="6AAE7116"/>
    <w:rsid w:val="6AAF014C"/>
    <w:rsid w:val="6ABD60AB"/>
    <w:rsid w:val="6AC07690"/>
    <w:rsid w:val="6ACB082B"/>
    <w:rsid w:val="6AD3247E"/>
    <w:rsid w:val="6AD44D6B"/>
    <w:rsid w:val="6AE4699C"/>
    <w:rsid w:val="6AED1BE8"/>
    <w:rsid w:val="6AF00853"/>
    <w:rsid w:val="6AF317C6"/>
    <w:rsid w:val="6B004C6B"/>
    <w:rsid w:val="6B09696B"/>
    <w:rsid w:val="6B2B0EFD"/>
    <w:rsid w:val="6B2C13E4"/>
    <w:rsid w:val="6B2D2EEB"/>
    <w:rsid w:val="6B322952"/>
    <w:rsid w:val="6B410613"/>
    <w:rsid w:val="6B493E2C"/>
    <w:rsid w:val="6B4B0A4C"/>
    <w:rsid w:val="6B4B36C9"/>
    <w:rsid w:val="6B4E75E6"/>
    <w:rsid w:val="6B50310B"/>
    <w:rsid w:val="6B5045E2"/>
    <w:rsid w:val="6B5B3B9E"/>
    <w:rsid w:val="6B5C4553"/>
    <w:rsid w:val="6B692897"/>
    <w:rsid w:val="6B695848"/>
    <w:rsid w:val="6B6A1A57"/>
    <w:rsid w:val="6B6D1317"/>
    <w:rsid w:val="6B730045"/>
    <w:rsid w:val="6B736A2E"/>
    <w:rsid w:val="6B762264"/>
    <w:rsid w:val="6B7964E9"/>
    <w:rsid w:val="6B8642C7"/>
    <w:rsid w:val="6B874340"/>
    <w:rsid w:val="6B884219"/>
    <w:rsid w:val="6B90781F"/>
    <w:rsid w:val="6BA6663C"/>
    <w:rsid w:val="6BA9194F"/>
    <w:rsid w:val="6BB07973"/>
    <w:rsid w:val="6BCA7437"/>
    <w:rsid w:val="6BE71622"/>
    <w:rsid w:val="6BE727F5"/>
    <w:rsid w:val="6C001608"/>
    <w:rsid w:val="6C08064C"/>
    <w:rsid w:val="6C0858B3"/>
    <w:rsid w:val="6C132D21"/>
    <w:rsid w:val="6C14347F"/>
    <w:rsid w:val="6C240DF3"/>
    <w:rsid w:val="6C45610F"/>
    <w:rsid w:val="6C59472D"/>
    <w:rsid w:val="6C5A4564"/>
    <w:rsid w:val="6C603744"/>
    <w:rsid w:val="6C635845"/>
    <w:rsid w:val="6C637CCF"/>
    <w:rsid w:val="6C6B4F91"/>
    <w:rsid w:val="6C7802EB"/>
    <w:rsid w:val="6C89456C"/>
    <w:rsid w:val="6C9143CB"/>
    <w:rsid w:val="6CA20D5B"/>
    <w:rsid w:val="6CA75F1D"/>
    <w:rsid w:val="6CAF7564"/>
    <w:rsid w:val="6CB71894"/>
    <w:rsid w:val="6CB91201"/>
    <w:rsid w:val="6CC13ACE"/>
    <w:rsid w:val="6CD63FB3"/>
    <w:rsid w:val="6CD73CDB"/>
    <w:rsid w:val="6CD91323"/>
    <w:rsid w:val="6CFE035F"/>
    <w:rsid w:val="6D056EA6"/>
    <w:rsid w:val="6D1766A9"/>
    <w:rsid w:val="6D19067C"/>
    <w:rsid w:val="6D1F423E"/>
    <w:rsid w:val="6D221E52"/>
    <w:rsid w:val="6D227835"/>
    <w:rsid w:val="6D231354"/>
    <w:rsid w:val="6D2834C8"/>
    <w:rsid w:val="6D2F1F0B"/>
    <w:rsid w:val="6D343A12"/>
    <w:rsid w:val="6D3C6626"/>
    <w:rsid w:val="6D5D0DB5"/>
    <w:rsid w:val="6D6855B1"/>
    <w:rsid w:val="6D6C5D15"/>
    <w:rsid w:val="6D7157A1"/>
    <w:rsid w:val="6D7B4AB7"/>
    <w:rsid w:val="6D836C02"/>
    <w:rsid w:val="6D89784B"/>
    <w:rsid w:val="6D8C7F73"/>
    <w:rsid w:val="6D9057BE"/>
    <w:rsid w:val="6D9E0566"/>
    <w:rsid w:val="6DBE7F27"/>
    <w:rsid w:val="6DC262E7"/>
    <w:rsid w:val="6DD70DD8"/>
    <w:rsid w:val="6DED1766"/>
    <w:rsid w:val="6DF43BD4"/>
    <w:rsid w:val="6E0E1FAB"/>
    <w:rsid w:val="6E2143FB"/>
    <w:rsid w:val="6E295363"/>
    <w:rsid w:val="6E317378"/>
    <w:rsid w:val="6E3A4724"/>
    <w:rsid w:val="6E3E5591"/>
    <w:rsid w:val="6E4215C6"/>
    <w:rsid w:val="6E4B0158"/>
    <w:rsid w:val="6E4D611F"/>
    <w:rsid w:val="6E567C9E"/>
    <w:rsid w:val="6E635028"/>
    <w:rsid w:val="6E636A71"/>
    <w:rsid w:val="6E68362E"/>
    <w:rsid w:val="6E685B0A"/>
    <w:rsid w:val="6E687486"/>
    <w:rsid w:val="6E73404A"/>
    <w:rsid w:val="6E7355AA"/>
    <w:rsid w:val="6E7D300B"/>
    <w:rsid w:val="6E823708"/>
    <w:rsid w:val="6E8A3EFB"/>
    <w:rsid w:val="6E920B5B"/>
    <w:rsid w:val="6E990B16"/>
    <w:rsid w:val="6E995AB6"/>
    <w:rsid w:val="6EA80CC5"/>
    <w:rsid w:val="6EB169D3"/>
    <w:rsid w:val="6EB21539"/>
    <w:rsid w:val="6EB829B1"/>
    <w:rsid w:val="6EB978A9"/>
    <w:rsid w:val="6ECC3A24"/>
    <w:rsid w:val="6ED86D3E"/>
    <w:rsid w:val="6EE9744F"/>
    <w:rsid w:val="6EEC3F7C"/>
    <w:rsid w:val="6EF06AD7"/>
    <w:rsid w:val="6EF3602C"/>
    <w:rsid w:val="6EF65A2C"/>
    <w:rsid w:val="6EFE1485"/>
    <w:rsid w:val="6F003F5F"/>
    <w:rsid w:val="6F0247B3"/>
    <w:rsid w:val="6F031F8E"/>
    <w:rsid w:val="6F09008D"/>
    <w:rsid w:val="6F0A5BD3"/>
    <w:rsid w:val="6F0C735C"/>
    <w:rsid w:val="6F0D382C"/>
    <w:rsid w:val="6F2632E8"/>
    <w:rsid w:val="6F30363A"/>
    <w:rsid w:val="6F3316E5"/>
    <w:rsid w:val="6F3F40F9"/>
    <w:rsid w:val="6F423982"/>
    <w:rsid w:val="6F424B2F"/>
    <w:rsid w:val="6F5E0205"/>
    <w:rsid w:val="6F632569"/>
    <w:rsid w:val="6F635644"/>
    <w:rsid w:val="6F635E50"/>
    <w:rsid w:val="6F6F14E1"/>
    <w:rsid w:val="6F76254B"/>
    <w:rsid w:val="6F7C40AC"/>
    <w:rsid w:val="6F8040F4"/>
    <w:rsid w:val="6F877B03"/>
    <w:rsid w:val="6F905BB3"/>
    <w:rsid w:val="6F9A3007"/>
    <w:rsid w:val="6FA629D4"/>
    <w:rsid w:val="6FA75ADB"/>
    <w:rsid w:val="6FB77ED4"/>
    <w:rsid w:val="6FBD3BBF"/>
    <w:rsid w:val="6FBD4D2F"/>
    <w:rsid w:val="6FBF4710"/>
    <w:rsid w:val="6FC9109F"/>
    <w:rsid w:val="6FCC6779"/>
    <w:rsid w:val="6FDB518F"/>
    <w:rsid w:val="6FE529ED"/>
    <w:rsid w:val="6FF733A7"/>
    <w:rsid w:val="70003DD9"/>
    <w:rsid w:val="70072915"/>
    <w:rsid w:val="70172090"/>
    <w:rsid w:val="70195E88"/>
    <w:rsid w:val="701D43BA"/>
    <w:rsid w:val="70216162"/>
    <w:rsid w:val="70291C03"/>
    <w:rsid w:val="702B6F43"/>
    <w:rsid w:val="7032079E"/>
    <w:rsid w:val="703C186A"/>
    <w:rsid w:val="704C34F0"/>
    <w:rsid w:val="70570007"/>
    <w:rsid w:val="705843B4"/>
    <w:rsid w:val="7058635C"/>
    <w:rsid w:val="70611FB0"/>
    <w:rsid w:val="70655A58"/>
    <w:rsid w:val="706A37E5"/>
    <w:rsid w:val="70822BAD"/>
    <w:rsid w:val="708746BC"/>
    <w:rsid w:val="708A15C0"/>
    <w:rsid w:val="708F7F54"/>
    <w:rsid w:val="709E3D85"/>
    <w:rsid w:val="70A36A35"/>
    <w:rsid w:val="70A708B1"/>
    <w:rsid w:val="70A97192"/>
    <w:rsid w:val="70AC660B"/>
    <w:rsid w:val="70B17138"/>
    <w:rsid w:val="70BB2EF0"/>
    <w:rsid w:val="70BC2801"/>
    <w:rsid w:val="70C6646C"/>
    <w:rsid w:val="70D82DC7"/>
    <w:rsid w:val="70E4685D"/>
    <w:rsid w:val="70FC2D1E"/>
    <w:rsid w:val="71014479"/>
    <w:rsid w:val="71015D6B"/>
    <w:rsid w:val="71067D7F"/>
    <w:rsid w:val="71071665"/>
    <w:rsid w:val="71115386"/>
    <w:rsid w:val="71126908"/>
    <w:rsid w:val="71151975"/>
    <w:rsid w:val="711D1189"/>
    <w:rsid w:val="712A2C1F"/>
    <w:rsid w:val="712A5215"/>
    <w:rsid w:val="712F2B3D"/>
    <w:rsid w:val="71336A65"/>
    <w:rsid w:val="713A6008"/>
    <w:rsid w:val="7144725F"/>
    <w:rsid w:val="71477B0C"/>
    <w:rsid w:val="7148395C"/>
    <w:rsid w:val="714B215B"/>
    <w:rsid w:val="714E2D72"/>
    <w:rsid w:val="71545B37"/>
    <w:rsid w:val="71570E43"/>
    <w:rsid w:val="71573E01"/>
    <w:rsid w:val="716F00B2"/>
    <w:rsid w:val="71702748"/>
    <w:rsid w:val="71867894"/>
    <w:rsid w:val="718E3AA9"/>
    <w:rsid w:val="71920F6D"/>
    <w:rsid w:val="7196106A"/>
    <w:rsid w:val="719E0160"/>
    <w:rsid w:val="719F7A78"/>
    <w:rsid w:val="71A03079"/>
    <w:rsid w:val="71A30C53"/>
    <w:rsid w:val="71AD22C0"/>
    <w:rsid w:val="71B623F6"/>
    <w:rsid w:val="71B84778"/>
    <w:rsid w:val="71C17B7E"/>
    <w:rsid w:val="71C7540C"/>
    <w:rsid w:val="71E857A5"/>
    <w:rsid w:val="71F64A63"/>
    <w:rsid w:val="71F870B8"/>
    <w:rsid w:val="71F9130C"/>
    <w:rsid w:val="72021233"/>
    <w:rsid w:val="720B2A1D"/>
    <w:rsid w:val="72197AB8"/>
    <w:rsid w:val="722D2DD1"/>
    <w:rsid w:val="7231773E"/>
    <w:rsid w:val="7234129A"/>
    <w:rsid w:val="72502F9F"/>
    <w:rsid w:val="7251515C"/>
    <w:rsid w:val="725817D3"/>
    <w:rsid w:val="726E6AD4"/>
    <w:rsid w:val="727C422C"/>
    <w:rsid w:val="7288329F"/>
    <w:rsid w:val="728D72D4"/>
    <w:rsid w:val="728E71EE"/>
    <w:rsid w:val="7292045A"/>
    <w:rsid w:val="72974DBE"/>
    <w:rsid w:val="72983FF8"/>
    <w:rsid w:val="72985E1E"/>
    <w:rsid w:val="72A20C20"/>
    <w:rsid w:val="72AC5E95"/>
    <w:rsid w:val="72BF43E3"/>
    <w:rsid w:val="72C13ED7"/>
    <w:rsid w:val="72CF1AC7"/>
    <w:rsid w:val="72D51F74"/>
    <w:rsid w:val="72DC0F93"/>
    <w:rsid w:val="72DD2607"/>
    <w:rsid w:val="72E42AFA"/>
    <w:rsid w:val="72E85578"/>
    <w:rsid w:val="72EB4466"/>
    <w:rsid w:val="72FD426E"/>
    <w:rsid w:val="73043CFC"/>
    <w:rsid w:val="7317244F"/>
    <w:rsid w:val="732B736C"/>
    <w:rsid w:val="732C334F"/>
    <w:rsid w:val="733501BF"/>
    <w:rsid w:val="734F0C79"/>
    <w:rsid w:val="734F4185"/>
    <w:rsid w:val="73520620"/>
    <w:rsid w:val="73536078"/>
    <w:rsid w:val="7363274A"/>
    <w:rsid w:val="73691A4A"/>
    <w:rsid w:val="7371152B"/>
    <w:rsid w:val="73777B4D"/>
    <w:rsid w:val="738A6895"/>
    <w:rsid w:val="738D1AFA"/>
    <w:rsid w:val="73917325"/>
    <w:rsid w:val="7395427D"/>
    <w:rsid w:val="73AE5485"/>
    <w:rsid w:val="73B1087F"/>
    <w:rsid w:val="73BC7089"/>
    <w:rsid w:val="73BE7067"/>
    <w:rsid w:val="73E406FD"/>
    <w:rsid w:val="73E52294"/>
    <w:rsid w:val="73EC5464"/>
    <w:rsid w:val="73FF2D64"/>
    <w:rsid w:val="74137154"/>
    <w:rsid w:val="741819AA"/>
    <w:rsid w:val="7421310D"/>
    <w:rsid w:val="74257F79"/>
    <w:rsid w:val="74273820"/>
    <w:rsid w:val="7427471C"/>
    <w:rsid w:val="74281B3F"/>
    <w:rsid w:val="742D7CD7"/>
    <w:rsid w:val="74355B0B"/>
    <w:rsid w:val="743C33B0"/>
    <w:rsid w:val="743C7157"/>
    <w:rsid w:val="743C71DA"/>
    <w:rsid w:val="74405F97"/>
    <w:rsid w:val="74416F54"/>
    <w:rsid w:val="744B354F"/>
    <w:rsid w:val="7450294E"/>
    <w:rsid w:val="74543139"/>
    <w:rsid w:val="74672BF8"/>
    <w:rsid w:val="746B732F"/>
    <w:rsid w:val="746E18CB"/>
    <w:rsid w:val="746F3904"/>
    <w:rsid w:val="748D52FA"/>
    <w:rsid w:val="74993216"/>
    <w:rsid w:val="74A25132"/>
    <w:rsid w:val="74B44784"/>
    <w:rsid w:val="74B808BF"/>
    <w:rsid w:val="74C03187"/>
    <w:rsid w:val="74E427B4"/>
    <w:rsid w:val="74E4756E"/>
    <w:rsid w:val="74ED19FF"/>
    <w:rsid w:val="75084E8F"/>
    <w:rsid w:val="7509261E"/>
    <w:rsid w:val="75202656"/>
    <w:rsid w:val="752231CE"/>
    <w:rsid w:val="75276DE2"/>
    <w:rsid w:val="753F3D3B"/>
    <w:rsid w:val="754723D0"/>
    <w:rsid w:val="75482D09"/>
    <w:rsid w:val="75633812"/>
    <w:rsid w:val="756F29D2"/>
    <w:rsid w:val="75752B04"/>
    <w:rsid w:val="758849E0"/>
    <w:rsid w:val="758910BB"/>
    <w:rsid w:val="75920C70"/>
    <w:rsid w:val="75955DA9"/>
    <w:rsid w:val="759601E2"/>
    <w:rsid w:val="75977910"/>
    <w:rsid w:val="759F2A35"/>
    <w:rsid w:val="75AD4ED0"/>
    <w:rsid w:val="75B15C41"/>
    <w:rsid w:val="75CC5191"/>
    <w:rsid w:val="75CC694A"/>
    <w:rsid w:val="75D12923"/>
    <w:rsid w:val="75D173F4"/>
    <w:rsid w:val="75EA364B"/>
    <w:rsid w:val="75F20996"/>
    <w:rsid w:val="75F65644"/>
    <w:rsid w:val="75F96973"/>
    <w:rsid w:val="76035FE9"/>
    <w:rsid w:val="760A4340"/>
    <w:rsid w:val="76123E1D"/>
    <w:rsid w:val="761270F3"/>
    <w:rsid w:val="761724E5"/>
    <w:rsid w:val="762545DB"/>
    <w:rsid w:val="762A17C0"/>
    <w:rsid w:val="762B7A6C"/>
    <w:rsid w:val="762E6798"/>
    <w:rsid w:val="763E6F8E"/>
    <w:rsid w:val="76425118"/>
    <w:rsid w:val="764838B9"/>
    <w:rsid w:val="764B15DA"/>
    <w:rsid w:val="764C09B4"/>
    <w:rsid w:val="764F5A52"/>
    <w:rsid w:val="76521C57"/>
    <w:rsid w:val="766163C1"/>
    <w:rsid w:val="76665926"/>
    <w:rsid w:val="766A4A0D"/>
    <w:rsid w:val="768C454B"/>
    <w:rsid w:val="7692667A"/>
    <w:rsid w:val="76982273"/>
    <w:rsid w:val="769A7352"/>
    <w:rsid w:val="769C4619"/>
    <w:rsid w:val="76A177B8"/>
    <w:rsid w:val="76A766BF"/>
    <w:rsid w:val="76AD2761"/>
    <w:rsid w:val="76B64E53"/>
    <w:rsid w:val="76B8001A"/>
    <w:rsid w:val="76B81599"/>
    <w:rsid w:val="76B97D11"/>
    <w:rsid w:val="76BB2F21"/>
    <w:rsid w:val="76BC314A"/>
    <w:rsid w:val="76C12918"/>
    <w:rsid w:val="76CC16BA"/>
    <w:rsid w:val="76CF29D3"/>
    <w:rsid w:val="76E91124"/>
    <w:rsid w:val="76EB0D11"/>
    <w:rsid w:val="76EC51FD"/>
    <w:rsid w:val="76F410B8"/>
    <w:rsid w:val="76F70779"/>
    <w:rsid w:val="76F71C30"/>
    <w:rsid w:val="77001F24"/>
    <w:rsid w:val="770A6C33"/>
    <w:rsid w:val="771A04D1"/>
    <w:rsid w:val="771B67DF"/>
    <w:rsid w:val="771E64D7"/>
    <w:rsid w:val="77240552"/>
    <w:rsid w:val="77272CAB"/>
    <w:rsid w:val="772B4341"/>
    <w:rsid w:val="7731599F"/>
    <w:rsid w:val="77451578"/>
    <w:rsid w:val="774963F2"/>
    <w:rsid w:val="77576666"/>
    <w:rsid w:val="77636E18"/>
    <w:rsid w:val="776564EF"/>
    <w:rsid w:val="776709A1"/>
    <w:rsid w:val="77674898"/>
    <w:rsid w:val="77692EA3"/>
    <w:rsid w:val="77695538"/>
    <w:rsid w:val="7773758E"/>
    <w:rsid w:val="77825248"/>
    <w:rsid w:val="7785098B"/>
    <w:rsid w:val="77870D91"/>
    <w:rsid w:val="778A3229"/>
    <w:rsid w:val="779258CC"/>
    <w:rsid w:val="7794068F"/>
    <w:rsid w:val="779418F6"/>
    <w:rsid w:val="779A012A"/>
    <w:rsid w:val="779A096B"/>
    <w:rsid w:val="779B52FF"/>
    <w:rsid w:val="779C011D"/>
    <w:rsid w:val="77A00E75"/>
    <w:rsid w:val="77A80D17"/>
    <w:rsid w:val="77B841F3"/>
    <w:rsid w:val="77B92EF8"/>
    <w:rsid w:val="77C078B1"/>
    <w:rsid w:val="77CE7C36"/>
    <w:rsid w:val="77DC3C42"/>
    <w:rsid w:val="77E537F1"/>
    <w:rsid w:val="77E66E3C"/>
    <w:rsid w:val="77E84D6F"/>
    <w:rsid w:val="77F3789A"/>
    <w:rsid w:val="77F70588"/>
    <w:rsid w:val="77F71324"/>
    <w:rsid w:val="78005A86"/>
    <w:rsid w:val="78011BF1"/>
    <w:rsid w:val="780326B9"/>
    <w:rsid w:val="780332E5"/>
    <w:rsid w:val="7804698A"/>
    <w:rsid w:val="7833711D"/>
    <w:rsid w:val="7834483F"/>
    <w:rsid w:val="78460D63"/>
    <w:rsid w:val="78497C2E"/>
    <w:rsid w:val="78502D35"/>
    <w:rsid w:val="7854087B"/>
    <w:rsid w:val="786A4053"/>
    <w:rsid w:val="78717849"/>
    <w:rsid w:val="78782A0D"/>
    <w:rsid w:val="78785A2F"/>
    <w:rsid w:val="787B5060"/>
    <w:rsid w:val="788720E7"/>
    <w:rsid w:val="78A90B04"/>
    <w:rsid w:val="78B0552C"/>
    <w:rsid w:val="78C34D95"/>
    <w:rsid w:val="78C53485"/>
    <w:rsid w:val="78C6693F"/>
    <w:rsid w:val="78C76A01"/>
    <w:rsid w:val="78C9386A"/>
    <w:rsid w:val="78DA30DC"/>
    <w:rsid w:val="78EB5FB1"/>
    <w:rsid w:val="78EC45D8"/>
    <w:rsid w:val="78EC6DF0"/>
    <w:rsid w:val="78F02AF8"/>
    <w:rsid w:val="78F5335B"/>
    <w:rsid w:val="78F554EB"/>
    <w:rsid w:val="78FF5EC9"/>
    <w:rsid w:val="791843E7"/>
    <w:rsid w:val="79233426"/>
    <w:rsid w:val="79260F03"/>
    <w:rsid w:val="792B77BF"/>
    <w:rsid w:val="792E73F2"/>
    <w:rsid w:val="79395A92"/>
    <w:rsid w:val="793C6522"/>
    <w:rsid w:val="794008FB"/>
    <w:rsid w:val="79412D41"/>
    <w:rsid w:val="794708D9"/>
    <w:rsid w:val="794B21A1"/>
    <w:rsid w:val="7964574A"/>
    <w:rsid w:val="79804706"/>
    <w:rsid w:val="79835FC2"/>
    <w:rsid w:val="79840597"/>
    <w:rsid w:val="79941CF2"/>
    <w:rsid w:val="79973382"/>
    <w:rsid w:val="79B4353E"/>
    <w:rsid w:val="79C07B43"/>
    <w:rsid w:val="79C81FFA"/>
    <w:rsid w:val="79C832AC"/>
    <w:rsid w:val="79D33056"/>
    <w:rsid w:val="79D715DF"/>
    <w:rsid w:val="79D85AB0"/>
    <w:rsid w:val="79E16F93"/>
    <w:rsid w:val="79E701E5"/>
    <w:rsid w:val="79EC0256"/>
    <w:rsid w:val="79F60153"/>
    <w:rsid w:val="79FB6E2C"/>
    <w:rsid w:val="79FF7B91"/>
    <w:rsid w:val="7A165123"/>
    <w:rsid w:val="7A36322F"/>
    <w:rsid w:val="7A431242"/>
    <w:rsid w:val="7A444657"/>
    <w:rsid w:val="7A4B3D21"/>
    <w:rsid w:val="7A4C2D60"/>
    <w:rsid w:val="7A5E0869"/>
    <w:rsid w:val="7A69432B"/>
    <w:rsid w:val="7A6E4BF5"/>
    <w:rsid w:val="7A6E5088"/>
    <w:rsid w:val="7A7F4A1E"/>
    <w:rsid w:val="7A8246BA"/>
    <w:rsid w:val="7A851D5D"/>
    <w:rsid w:val="7A8A2267"/>
    <w:rsid w:val="7AA07F3B"/>
    <w:rsid w:val="7AAD1C0F"/>
    <w:rsid w:val="7AAF4757"/>
    <w:rsid w:val="7AB53126"/>
    <w:rsid w:val="7AB76FE8"/>
    <w:rsid w:val="7AB8122B"/>
    <w:rsid w:val="7ACC526F"/>
    <w:rsid w:val="7AD268E2"/>
    <w:rsid w:val="7ADC0B33"/>
    <w:rsid w:val="7AE14C19"/>
    <w:rsid w:val="7AE53859"/>
    <w:rsid w:val="7AE727D9"/>
    <w:rsid w:val="7AEA174E"/>
    <w:rsid w:val="7B05641A"/>
    <w:rsid w:val="7B0B692F"/>
    <w:rsid w:val="7B274176"/>
    <w:rsid w:val="7B3057E4"/>
    <w:rsid w:val="7B306163"/>
    <w:rsid w:val="7B364C38"/>
    <w:rsid w:val="7B3E17AA"/>
    <w:rsid w:val="7B401C79"/>
    <w:rsid w:val="7B440ED6"/>
    <w:rsid w:val="7B4678D7"/>
    <w:rsid w:val="7B4B2A93"/>
    <w:rsid w:val="7B516F3E"/>
    <w:rsid w:val="7B527515"/>
    <w:rsid w:val="7B78553B"/>
    <w:rsid w:val="7B786809"/>
    <w:rsid w:val="7B7A004F"/>
    <w:rsid w:val="7B890A24"/>
    <w:rsid w:val="7B8A4A8A"/>
    <w:rsid w:val="7BAA485C"/>
    <w:rsid w:val="7BAD1591"/>
    <w:rsid w:val="7BCD64C2"/>
    <w:rsid w:val="7BD3716B"/>
    <w:rsid w:val="7BEC2711"/>
    <w:rsid w:val="7BF55850"/>
    <w:rsid w:val="7C1054B7"/>
    <w:rsid w:val="7C131E53"/>
    <w:rsid w:val="7C261982"/>
    <w:rsid w:val="7C26369C"/>
    <w:rsid w:val="7C2A465C"/>
    <w:rsid w:val="7C2E06D8"/>
    <w:rsid w:val="7C305879"/>
    <w:rsid w:val="7C34521A"/>
    <w:rsid w:val="7C4067F6"/>
    <w:rsid w:val="7C417F31"/>
    <w:rsid w:val="7C4674BA"/>
    <w:rsid w:val="7C4A2BD1"/>
    <w:rsid w:val="7C4C0053"/>
    <w:rsid w:val="7C576C70"/>
    <w:rsid w:val="7C6E4349"/>
    <w:rsid w:val="7C77043F"/>
    <w:rsid w:val="7C8A7CDC"/>
    <w:rsid w:val="7C8B5373"/>
    <w:rsid w:val="7C9B5288"/>
    <w:rsid w:val="7C9E5A24"/>
    <w:rsid w:val="7CA745A1"/>
    <w:rsid w:val="7CAF4DCB"/>
    <w:rsid w:val="7CB4006B"/>
    <w:rsid w:val="7CB93ABB"/>
    <w:rsid w:val="7CC475DB"/>
    <w:rsid w:val="7CCA4C41"/>
    <w:rsid w:val="7CD36BD6"/>
    <w:rsid w:val="7CDE3831"/>
    <w:rsid w:val="7CE05980"/>
    <w:rsid w:val="7CE656F0"/>
    <w:rsid w:val="7CED34FF"/>
    <w:rsid w:val="7CEE5458"/>
    <w:rsid w:val="7CF26588"/>
    <w:rsid w:val="7CF565D7"/>
    <w:rsid w:val="7CF7605D"/>
    <w:rsid w:val="7CF867A7"/>
    <w:rsid w:val="7CFA3A46"/>
    <w:rsid w:val="7CFC78A1"/>
    <w:rsid w:val="7D0F5720"/>
    <w:rsid w:val="7D186F3E"/>
    <w:rsid w:val="7D24652E"/>
    <w:rsid w:val="7D2561FD"/>
    <w:rsid w:val="7D2E198F"/>
    <w:rsid w:val="7D342E03"/>
    <w:rsid w:val="7D355821"/>
    <w:rsid w:val="7D3B3737"/>
    <w:rsid w:val="7D3D73AF"/>
    <w:rsid w:val="7D3F6E5D"/>
    <w:rsid w:val="7D5052A6"/>
    <w:rsid w:val="7D514310"/>
    <w:rsid w:val="7D5B27C9"/>
    <w:rsid w:val="7D62117D"/>
    <w:rsid w:val="7D6B7F02"/>
    <w:rsid w:val="7D834A16"/>
    <w:rsid w:val="7D9D0A97"/>
    <w:rsid w:val="7D9D438F"/>
    <w:rsid w:val="7DA514D2"/>
    <w:rsid w:val="7DAE6BE3"/>
    <w:rsid w:val="7DCD1A27"/>
    <w:rsid w:val="7DCD4EB5"/>
    <w:rsid w:val="7DDF20BC"/>
    <w:rsid w:val="7DE07962"/>
    <w:rsid w:val="7DE34955"/>
    <w:rsid w:val="7DFF1E31"/>
    <w:rsid w:val="7E0565CD"/>
    <w:rsid w:val="7E090313"/>
    <w:rsid w:val="7E097A5B"/>
    <w:rsid w:val="7E3E0FEC"/>
    <w:rsid w:val="7E3E1EF2"/>
    <w:rsid w:val="7E566EA2"/>
    <w:rsid w:val="7E5B15D2"/>
    <w:rsid w:val="7E5B76B4"/>
    <w:rsid w:val="7E5C1ABA"/>
    <w:rsid w:val="7E61281D"/>
    <w:rsid w:val="7E622778"/>
    <w:rsid w:val="7E726401"/>
    <w:rsid w:val="7E756346"/>
    <w:rsid w:val="7E7D055C"/>
    <w:rsid w:val="7E8104AE"/>
    <w:rsid w:val="7E85174A"/>
    <w:rsid w:val="7E8B68B9"/>
    <w:rsid w:val="7EA77314"/>
    <w:rsid w:val="7EAA7C26"/>
    <w:rsid w:val="7EAF1FAA"/>
    <w:rsid w:val="7EB4653A"/>
    <w:rsid w:val="7EBD44C4"/>
    <w:rsid w:val="7EC478B9"/>
    <w:rsid w:val="7ECA4601"/>
    <w:rsid w:val="7ECE7C95"/>
    <w:rsid w:val="7EDC22AD"/>
    <w:rsid w:val="7EDE4C34"/>
    <w:rsid w:val="7EE34086"/>
    <w:rsid w:val="7EE55F89"/>
    <w:rsid w:val="7EEB5719"/>
    <w:rsid w:val="7EF215E8"/>
    <w:rsid w:val="7EF525E1"/>
    <w:rsid w:val="7EF74FC9"/>
    <w:rsid w:val="7F000B6A"/>
    <w:rsid w:val="7F0178C5"/>
    <w:rsid w:val="7F022EBD"/>
    <w:rsid w:val="7F033852"/>
    <w:rsid w:val="7F0B5962"/>
    <w:rsid w:val="7F0C2035"/>
    <w:rsid w:val="7F0F0FAF"/>
    <w:rsid w:val="7F0F7992"/>
    <w:rsid w:val="7F1B0865"/>
    <w:rsid w:val="7F271AA3"/>
    <w:rsid w:val="7F354370"/>
    <w:rsid w:val="7F397345"/>
    <w:rsid w:val="7F4D1868"/>
    <w:rsid w:val="7F4D3BF2"/>
    <w:rsid w:val="7F542B37"/>
    <w:rsid w:val="7F57085D"/>
    <w:rsid w:val="7F6A77AB"/>
    <w:rsid w:val="7F6B2248"/>
    <w:rsid w:val="7F725E7C"/>
    <w:rsid w:val="7F761ADC"/>
    <w:rsid w:val="7F7D7A8E"/>
    <w:rsid w:val="7F872588"/>
    <w:rsid w:val="7F8725BA"/>
    <w:rsid w:val="7F8C6A8F"/>
    <w:rsid w:val="7F994DB5"/>
    <w:rsid w:val="7F9C175D"/>
    <w:rsid w:val="7F9F773D"/>
    <w:rsid w:val="7FA85877"/>
    <w:rsid w:val="7FAB3A81"/>
    <w:rsid w:val="7FCB6843"/>
    <w:rsid w:val="7FDC52B9"/>
    <w:rsid w:val="7FE653BC"/>
    <w:rsid w:val="7FEA5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uiPriority="99" w:name="heading 7"/>
    <w:lsdException w:uiPriority="99" w:name="heading 8"/>
    <w:lsdException w:uiPriority="9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qFormat="1" w:uiPriority="39" w:semiHidden="0" w:name="toc 3"/>
    <w:lsdException w:uiPriority="99" w:name="toc 4"/>
    <w:lsdException w:uiPriority="99" w:name="toc 5"/>
    <w:lsdException w:uiPriority="99" w:name="toc 6"/>
    <w:lsdException w:uiPriority="99" w:name="toc 7"/>
    <w:lsdException w:uiPriority="99" w:name="toc 8"/>
    <w:lsdException w:uiPriority="99" w:name="toc 9"/>
    <w:lsdException w:uiPriority="99" w:name="Normal Indent"/>
    <w:lsdException w:uiPriority="99" w:name="footnote text"/>
    <w:lsdException w:qFormat="1" w:uiPriority="0" w:semiHidden="0" w:name="annotation text"/>
    <w:lsdException w:qFormat="1" w:unhideWhenUsed="0" w:uiPriority="0" w:name="header"/>
    <w:lsdException w:qFormat="1" w:uiPriority="0" w:semiHidden="0" w:name="footer"/>
    <w:lsdException w:uiPriority="99" w:name="index heading"/>
    <w:lsdException w:qFormat="1" w:unhideWhenUsed="0" w:uiPriority="0" w:semiHidden="0" w:name="caption"/>
    <w:lsdException w:qFormat="1"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0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semiHidden="0" w:name="List"/>
    <w:lsdException w:uiPriority="99" w:name="List Bullet"/>
    <w:lsdException w:uiPriority="99" w:name="List Number"/>
    <w:lsdException w:qFormat="1" w:unhideWhenUsed="0" w:uiPriority="0" w:semiHidden="0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unhideWhenUsed="0" w:uiPriority="99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unhideWhenUsed="0" w:uiPriority="99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beforeLines="50" w:afterLines="50" w:line="259" w:lineRule="auto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outlineLvl w:val="0"/>
    </w:pPr>
    <w:rPr>
      <w:rFonts w:ascii="Arial" w:hAnsi="Arial" w:eastAsia="MS Mincho"/>
      <w:sz w:val="32"/>
    </w:rPr>
  </w:style>
  <w:style w:type="paragraph" w:styleId="3">
    <w:name w:val="heading 2"/>
    <w:basedOn w:val="2"/>
    <w:next w:val="1"/>
    <w:link w:val="55"/>
    <w:qFormat/>
    <w:uiPriority w:val="0"/>
    <w:pPr>
      <w:numPr>
        <w:ilvl w:val="1"/>
      </w:numPr>
      <w:pBdr>
        <w:top w:val="none" w:color="auto" w:sz="0" w:space="0"/>
      </w:pBdr>
      <w:spacing w:before="50" w:after="50" w:line="260" w:lineRule="auto"/>
      <w:ind w:left="0" w:right="0" w:rightChars="0"/>
      <w:outlineLvl w:val="1"/>
    </w:pPr>
    <w:rPr>
      <w:rFonts w:ascii="Times New Roman" w:hAnsi="Times New Roman" w:eastAsia="MS Mincho"/>
      <w:b/>
      <w:sz w:val="28"/>
    </w:rPr>
  </w:style>
  <w:style w:type="paragraph" w:styleId="4">
    <w:name w:val="heading 3"/>
    <w:basedOn w:val="3"/>
    <w:next w:val="1"/>
    <w:link w:val="54"/>
    <w:qFormat/>
    <w:uiPriority w:val="0"/>
    <w:pPr>
      <w:numPr>
        <w:ilvl w:val="2"/>
      </w:numPr>
      <w:spacing w:before="120"/>
      <w:ind w:left="0"/>
      <w:outlineLvl w:val="2"/>
    </w:pPr>
    <w:rPr>
      <w:sz w:val="24"/>
    </w:rPr>
  </w:style>
  <w:style w:type="paragraph" w:styleId="5">
    <w:name w:val="heading 4"/>
    <w:basedOn w:val="4"/>
    <w:next w:val="1"/>
    <w:link w:val="53"/>
    <w:qFormat/>
    <w:uiPriority w:val="0"/>
    <w:pPr>
      <w:ind w:left="1418" w:hanging="1418"/>
      <w:outlineLvl w:val="3"/>
    </w:p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</w:style>
  <w:style w:type="character" w:default="1" w:styleId="25">
    <w:name w:val="Default Paragraph Font"/>
    <w:semiHidden/>
    <w:unhideWhenUsed/>
    <w:qFormat/>
    <w:uiPriority w:val="1"/>
  </w:style>
  <w:style w:type="table" w:default="1" w:styleId="2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9">
    <w:name w:val="caption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10">
    <w:name w:val="Document Map"/>
    <w:basedOn w:val="1"/>
    <w:link w:val="41"/>
    <w:semiHidden/>
    <w:unhideWhenUsed/>
    <w:qFormat/>
    <w:uiPriority w:val="99"/>
    <w:rPr>
      <w:rFonts w:ascii="宋体"/>
      <w:sz w:val="18"/>
      <w:szCs w:val="18"/>
    </w:rPr>
  </w:style>
  <w:style w:type="paragraph" w:styleId="11">
    <w:name w:val="annotation text"/>
    <w:basedOn w:val="1"/>
    <w:link w:val="42"/>
    <w:unhideWhenUsed/>
    <w:qFormat/>
    <w:uiPriority w:val="0"/>
    <w:pPr>
      <w:spacing w:before="120" w:after="120"/>
      <w:jc w:val="left"/>
    </w:pPr>
  </w:style>
  <w:style w:type="paragraph" w:styleId="12">
    <w:name w:val="List 2"/>
    <w:basedOn w:val="13"/>
    <w:qFormat/>
    <w:uiPriority w:val="0"/>
    <w:pPr>
      <w:numPr>
        <w:ilvl w:val="0"/>
        <w:numId w:val="2"/>
      </w:numPr>
      <w:snapToGrid w:val="0"/>
      <w:spacing w:before="120"/>
      <w:ind w:firstLine="0" w:firstLineChars="0"/>
      <w:contextualSpacing w:val="0"/>
      <w:jc w:val="both"/>
    </w:pPr>
    <w:rPr>
      <w:rFonts w:eastAsia="宋体"/>
      <w:bCs/>
      <w:sz w:val="21"/>
      <w:szCs w:val="21"/>
      <w:lang w:val="en-GB" w:eastAsia="zh-CN"/>
    </w:rPr>
  </w:style>
  <w:style w:type="paragraph" w:styleId="13">
    <w:name w:val="List"/>
    <w:basedOn w:val="1"/>
    <w:qFormat/>
    <w:uiPriority w:val="0"/>
    <w:pPr>
      <w:ind w:left="568" w:hanging="284"/>
    </w:pPr>
  </w:style>
  <w:style w:type="paragraph" w:styleId="14">
    <w:name w:val="toc 3"/>
    <w:basedOn w:val="1"/>
    <w:next w:val="1"/>
    <w:unhideWhenUsed/>
    <w:qFormat/>
    <w:uiPriority w:val="39"/>
    <w:pPr>
      <w:adjustRightInd w:val="0"/>
      <w:ind w:left="1282" w:leftChars="400" w:hanging="442" w:hangingChars="200"/>
    </w:pPr>
    <w:rPr>
      <w:b/>
      <w:i/>
      <w:sz w:val="20"/>
    </w:rPr>
  </w:style>
  <w:style w:type="paragraph" w:styleId="15">
    <w:name w:val="Balloon Text"/>
    <w:basedOn w:val="1"/>
    <w:link w:val="30"/>
    <w:semiHidden/>
    <w:unhideWhenUsed/>
    <w:qFormat/>
    <w:uiPriority w:val="99"/>
    <w:pPr>
      <w:spacing w:line="240" w:lineRule="auto"/>
    </w:pPr>
    <w:rPr>
      <w:sz w:val="18"/>
      <w:szCs w:val="18"/>
    </w:rPr>
  </w:style>
  <w:style w:type="paragraph" w:styleId="16">
    <w:name w:val="footer"/>
    <w:basedOn w:val="1"/>
    <w:link w:val="39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7">
    <w:name w:val="header"/>
    <w:basedOn w:val="1"/>
    <w:link w:val="38"/>
    <w:semiHidden/>
    <w:qFormat/>
    <w:uiPriority w:val="0"/>
    <w:pPr>
      <w:tabs>
        <w:tab w:val="center" w:pos="4680"/>
        <w:tab w:val="right" w:pos="9360"/>
      </w:tabs>
      <w:spacing w:line="240" w:lineRule="auto"/>
    </w:pPr>
  </w:style>
  <w:style w:type="paragraph" w:styleId="18">
    <w:name w:val="toc 1"/>
    <w:basedOn w:val="1"/>
    <w:next w:val="1"/>
    <w:unhideWhenUsed/>
    <w:qFormat/>
    <w:uiPriority w:val="39"/>
    <w:rPr>
      <w:rFonts w:eastAsiaTheme="minorEastAsia"/>
      <w:b/>
      <w:i/>
      <w:sz w:val="20"/>
    </w:rPr>
  </w:style>
  <w:style w:type="paragraph" w:styleId="19">
    <w:name w:val="table of figures"/>
    <w:basedOn w:val="1"/>
    <w:next w:val="1"/>
    <w:semiHidden/>
    <w:unhideWhenUsed/>
    <w:qFormat/>
    <w:uiPriority w:val="99"/>
    <w:pPr>
      <w:ind w:left="200" w:leftChars="200" w:hanging="200" w:hangingChars="200"/>
    </w:pPr>
  </w:style>
  <w:style w:type="paragraph" w:styleId="20">
    <w:name w:val="toc 2"/>
    <w:basedOn w:val="1"/>
    <w:next w:val="1"/>
    <w:unhideWhenUsed/>
    <w:qFormat/>
    <w:uiPriority w:val="39"/>
    <w:pPr>
      <w:ind w:left="420" w:leftChars="200"/>
    </w:pPr>
    <w:rPr>
      <w:b/>
      <w:i/>
      <w:sz w:val="20"/>
    </w:rPr>
  </w:style>
  <w:style w:type="paragraph" w:styleId="21">
    <w:name w:val="Normal (Web)"/>
    <w:basedOn w:val="1"/>
    <w:semiHidden/>
    <w:unhideWhenUsed/>
    <w:qFormat/>
    <w:uiPriority w:val="99"/>
    <w:pPr>
      <w:spacing w:beforeAutospacing="1" w:afterAutospacing="1"/>
      <w:jc w:val="left"/>
    </w:pPr>
    <w:rPr>
      <w:kern w:val="0"/>
      <w:sz w:val="24"/>
    </w:rPr>
  </w:style>
  <w:style w:type="paragraph" w:styleId="22">
    <w:name w:val="annotation subject"/>
    <w:basedOn w:val="11"/>
    <w:next w:val="11"/>
    <w:link w:val="43"/>
    <w:semiHidden/>
    <w:unhideWhenUsed/>
    <w:qFormat/>
    <w:uiPriority w:val="99"/>
    <w:rPr>
      <w:b/>
      <w:bCs/>
    </w:rPr>
  </w:style>
  <w:style w:type="table" w:styleId="24">
    <w:name w:val="Table Grid"/>
    <w:basedOn w:val="2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6">
    <w:name w:val="Strong"/>
    <w:qFormat/>
    <w:uiPriority w:val="22"/>
    <w:rPr>
      <w:b/>
      <w:bCs/>
    </w:rPr>
  </w:style>
  <w:style w:type="character" w:styleId="27">
    <w:name w:val="Emphasis"/>
    <w:basedOn w:val="25"/>
    <w:qFormat/>
    <w:uiPriority w:val="20"/>
    <w:rPr>
      <w:i/>
    </w:rPr>
  </w:style>
  <w:style w:type="character" w:styleId="28">
    <w:name w:val="Hyperlink"/>
    <w:qFormat/>
    <w:uiPriority w:val="99"/>
    <w:rPr>
      <w:color w:val="0000FF"/>
      <w:u w:val="single"/>
    </w:rPr>
  </w:style>
  <w:style w:type="character" w:styleId="29">
    <w:name w:val="annotation reference"/>
    <w:basedOn w:val="25"/>
    <w:unhideWhenUsed/>
    <w:qFormat/>
    <w:uiPriority w:val="0"/>
    <w:rPr>
      <w:sz w:val="16"/>
      <w:szCs w:val="16"/>
    </w:rPr>
  </w:style>
  <w:style w:type="character" w:customStyle="1" w:styleId="30">
    <w:name w:val="批注框文本 Char"/>
    <w:basedOn w:val="25"/>
    <w:link w:val="15"/>
    <w:semiHidden/>
    <w:qFormat/>
    <w:uiPriority w:val="99"/>
    <w:rPr>
      <w:kern w:val="2"/>
      <w:sz w:val="18"/>
      <w:szCs w:val="18"/>
    </w:rPr>
  </w:style>
  <w:style w:type="paragraph" w:customStyle="1" w:styleId="31">
    <w:name w:val="YJ-Proposal"/>
    <w:basedOn w:val="1"/>
    <w:qFormat/>
    <w:uiPriority w:val="0"/>
    <w:pPr>
      <w:numPr>
        <w:ilvl w:val="0"/>
        <w:numId w:val="3"/>
      </w:numPr>
    </w:pPr>
    <w:rPr>
      <w:rFonts w:eastAsiaTheme="minorEastAsia"/>
      <w:b/>
      <w:bCs/>
      <w:i/>
      <w:iCs/>
      <w:sz w:val="20"/>
      <w:lang w:val="en-GB" w:eastAsia="en-US"/>
    </w:rPr>
  </w:style>
  <w:style w:type="paragraph" w:customStyle="1" w:styleId="32">
    <w:name w:val="YJ-Observation"/>
    <w:basedOn w:val="31"/>
    <w:qFormat/>
    <w:uiPriority w:val="0"/>
    <w:pPr>
      <w:numPr>
        <w:ilvl w:val="0"/>
        <w:numId w:val="4"/>
      </w:numPr>
      <w:tabs>
        <w:tab w:val="left" w:pos="420"/>
      </w:tabs>
    </w:pPr>
  </w:style>
  <w:style w:type="paragraph" w:customStyle="1" w:styleId="33">
    <w:name w:val="References"/>
    <w:basedOn w:val="1"/>
    <w:qFormat/>
    <w:uiPriority w:val="0"/>
    <w:pPr>
      <w:numPr>
        <w:ilvl w:val="0"/>
        <w:numId w:val="5"/>
      </w:numPr>
      <w:spacing w:after="60"/>
    </w:pPr>
    <w:rPr>
      <w:szCs w:val="16"/>
    </w:rPr>
  </w:style>
  <w:style w:type="paragraph" w:styleId="34">
    <w:name w:val="List Paragraph"/>
    <w:basedOn w:val="1"/>
    <w:link w:val="68"/>
    <w:qFormat/>
    <w:uiPriority w:val="34"/>
    <w:pPr>
      <w:spacing w:beforeLines="0" w:line="240" w:lineRule="auto"/>
      <w:ind w:left="720"/>
      <w:contextualSpacing/>
    </w:pPr>
    <w:rPr>
      <w:rFonts w:eastAsia="Times New Roman"/>
      <w:sz w:val="24"/>
      <w:szCs w:val="24"/>
    </w:rPr>
  </w:style>
  <w:style w:type="paragraph" w:customStyle="1" w:styleId="35">
    <w:name w:val="sub-proposal"/>
    <w:basedOn w:val="31"/>
    <w:next w:val="1"/>
    <w:qFormat/>
    <w:uiPriority w:val="0"/>
    <w:pPr>
      <w:numPr>
        <w:numId w:val="6"/>
      </w:numPr>
      <w:tabs>
        <w:tab w:val="left" w:pos="807"/>
      </w:tabs>
    </w:pPr>
  </w:style>
  <w:style w:type="paragraph" w:customStyle="1" w:styleId="36">
    <w:name w:val="样式1"/>
    <w:basedOn w:val="1"/>
    <w:qFormat/>
    <w:uiPriority w:val="0"/>
  </w:style>
  <w:style w:type="paragraph" w:customStyle="1" w:styleId="37">
    <w:name w:val="LGTdoc_본문"/>
    <w:basedOn w:val="1"/>
    <w:qFormat/>
    <w:uiPriority w:val="0"/>
    <w:pPr>
      <w:widowControl w:val="0"/>
      <w:autoSpaceDE w:val="0"/>
      <w:autoSpaceDN w:val="0"/>
      <w:adjustRightInd w:val="0"/>
      <w:snapToGrid w:val="0"/>
      <w:spacing w:line="264" w:lineRule="auto"/>
    </w:pPr>
    <w:rPr>
      <w:sz w:val="22"/>
      <w:lang w:eastAsia="ko-KR"/>
    </w:rPr>
  </w:style>
  <w:style w:type="character" w:customStyle="1" w:styleId="38">
    <w:name w:val="页眉 Char"/>
    <w:basedOn w:val="25"/>
    <w:link w:val="17"/>
    <w:semiHidden/>
    <w:qFormat/>
    <w:uiPriority w:val="0"/>
    <w:rPr>
      <w:rFonts w:eastAsia="宋体"/>
      <w:kern w:val="2"/>
      <w:sz w:val="21"/>
    </w:rPr>
  </w:style>
  <w:style w:type="character" w:customStyle="1" w:styleId="39">
    <w:name w:val="页脚 Char"/>
    <w:basedOn w:val="25"/>
    <w:link w:val="16"/>
    <w:qFormat/>
    <w:uiPriority w:val="99"/>
    <w:rPr>
      <w:rFonts w:eastAsia="宋体"/>
      <w:kern w:val="2"/>
      <w:sz w:val="18"/>
      <w:szCs w:val="18"/>
    </w:rPr>
  </w:style>
  <w:style w:type="paragraph" w:customStyle="1" w:styleId="40">
    <w:name w:val="YJ--正文"/>
    <w:basedOn w:val="1"/>
    <w:qFormat/>
    <w:uiPriority w:val="0"/>
    <w:pPr>
      <w:spacing w:before="50" w:after="50" w:line="240" w:lineRule="auto"/>
    </w:pPr>
    <w:rPr>
      <w:rFonts w:eastAsia="Times New Roman" w:cs="宋体"/>
      <w:sz w:val="20"/>
    </w:rPr>
  </w:style>
  <w:style w:type="character" w:customStyle="1" w:styleId="41">
    <w:name w:val="文档结构图 Char"/>
    <w:basedOn w:val="25"/>
    <w:link w:val="10"/>
    <w:semiHidden/>
    <w:qFormat/>
    <w:uiPriority w:val="99"/>
    <w:rPr>
      <w:rFonts w:ascii="宋体"/>
      <w:kern w:val="2"/>
      <w:sz w:val="18"/>
      <w:szCs w:val="18"/>
    </w:rPr>
  </w:style>
  <w:style w:type="character" w:customStyle="1" w:styleId="42">
    <w:name w:val="批注文字 Char"/>
    <w:basedOn w:val="25"/>
    <w:link w:val="11"/>
    <w:qFormat/>
    <w:uiPriority w:val="0"/>
    <w:rPr>
      <w:rFonts w:eastAsia="宋体"/>
      <w:kern w:val="2"/>
      <w:sz w:val="21"/>
    </w:rPr>
  </w:style>
  <w:style w:type="character" w:customStyle="1" w:styleId="43">
    <w:name w:val="批注主题 Char"/>
    <w:basedOn w:val="42"/>
    <w:link w:val="22"/>
    <w:qFormat/>
    <w:uiPriority w:val="0"/>
    <w:rPr>
      <w:rFonts w:eastAsia="宋体"/>
      <w:kern w:val="2"/>
      <w:sz w:val="21"/>
    </w:rPr>
  </w:style>
  <w:style w:type="paragraph" w:customStyle="1" w:styleId="44">
    <w:name w:val="subullet"/>
    <w:basedOn w:val="1"/>
    <w:qFormat/>
    <w:uiPriority w:val="0"/>
    <w:pPr>
      <w:numPr>
        <w:ilvl w:val="1"/>
        <w:numId w:val="3"/>
      </w:numPr>
      <w:spacing w:before="50" w:after="50"/>
    </w:pPr>
    <w:rPr>
      <w:rFonts w:hint="eastAsia" w:eastAsiaTheme="minorEastAsia"/>
      <w:b/>
      <w:bCs/>
      <w:i/>
      <w:iCs/>
      <w:sz w:val="20"/>
    </w:rPr>
  </w:style>
  <w:style w:type="paragraph" w:customStyle="1" w:styleId="45">
    <w:name w:val="subsub"/>
    <w:basedOn w:val="1"/>
    <w:qFormat/>
    <w:uiPriority w:val="0"/>
    <w:pPr>
      <w:numPr>
        <w:ilvl w:val="2"/>
        <w:numId w:val="3"/>
      </w:numPr>
      <w:tabs>
        <w:tab w:val="left" w:pos="0"/>
      </w:tabs>
      <w:spacing w:before="50" w:after="50"/>
    </w:pPr>
    <w:rPr>
      <w:rFonts w:hint="eastAsia" w:eastAsiaTheme="minorEastAsia"/>
      <w:b/>
      <w:bCs/>
      <w:i/>
      <w:iCs/>
      <w:sz w:val="20"/>
    </w:rPr>
  </w:style>
  <w:style w:type="paragraph" w:customStyle="1" w:styleId="46">
    <w:name w:val="3rd level proposal"/>
    <w:basedOn w:val="35"/>
    <w:next w:val="1"/>
    <w:qFormat/>
    <w:uiPriority w:val="0"/>
    <w:pPr>
      <w:numPr>
        <w:ilvl w:val="0"/>
        <w:numId w:val="7"/>
      </w:numPr>
      <w:ind w:left="1282" w:leftChars="400" w:hanging="442" w:hangingChars="200"/>
      <w:jc w:val="left"/>
    </w:pPr>
  </w:style>
  <w:style w:type="paragraph" w:customStyle="1" w:styleId="47">
    <w:name w:val="B1"/>
    <w:basedOn w:val="13"/>
    <w:link w:val="61"/>
    <w:qFormat/>
    <w:uiPriority w:val="0"/>
  </w:style>
  <w:style w:type="paragraph" w:customStyle="1" w:styleId="48">
    <w:name w:val="B3"/>
    <w:basedOn w:val="1"/>
    <w:qFormat/>
    <w:uiPriority w:val="0"/>
    <w:pPr>
      <w:ind w:left="1135" w:hanging="284"/>
    </w:pPr>
  </w:style>
  <w:style w:type="character" w:styleId="49">
    <w:name w:val="Placeholder Text"/>
    <w:basedOn w:val="25"/>
    <w:semiHidden/>
    <w:qFormat/>
    <w:uiPriority w:val="99"/>
    <w:rPr>
      <w:color w:val="808080"/>
    </w:rPr>
  </w:style>
  <w:style w:type="paragraph" w:customStyle="1" w:styleId="50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51">
    <w:name w:val="B2"/>
    <w:basedOn w:val="12"/>
    <w:qFormat/>
    <w:uiPriority w:val="0"/>
    <w:pPr>
      <w:ind w:left="851" w:hanging="284"/>
    </w:pPr>
    <w:rPr>
      <w:lang w:val="zh-CN"/>
    </w:rPr>
  </w:style>
  <w:style w:type="paragraph" w:customStyle="1" w:styleId="52">
    <w:name w:val="B4"/>
    <w:basedOn w:val="1"/>
    <w:qFormat/>
    <w:uiPriority w:val="0"/>
    <w:pPr>
      <w:ind w:left="1418" w:hanging="284"/>
    </w:pPr>
  </w:style>
  <w:style w:type="character" w:customStyle="1" w:styleId="53">
    <w:name w:val="标题 4 Char"/>
    <w:basedOn w:val="25"/>
    <w:link w:val="5"/>
    <w:qFormat/>
    <w:uiPriority w:val="0"/>
    <w:rPr>
      <w:rFonts w:ascii="Arial" w:hAnsi="Arial" w:eastAsia="MS Mincho"/>
      <w:kern w:val="2"/>
      <w:sz w:val="24"/>
    </w:rPr>
  </w:style>
  <w:style w:type="character" w:customStyle="1" w:styleId="54">
    <w:name w:val="标题 3 Char"/>
    <w:basedOn w:val="25"/>
    <w:link w:val="4"/>
    <w:qFormat/>
    <w:uiPriority w:val="0"/>
    <w:rPr>
      <w:rFonts w:ascii="Arial" w:hAnsi="Arial" w:eastAsia="MS Mincho"/>
      <w:kern w:val="2"/>
      <w:sz w:val="24"/>
    </w:rPr>
  </w:style>
  <w:style w:type="character" w:customStyle="1" w:styleId="55">
    <w:name w:val="标题 2 Char"/>
    <w:basedOn w:val="25"/>
    <w:link w:val="3"/>
    <w:qFormat/>
    <w:uiPriority w:val="0"/>
    <w:rPr>
      <w:rFonts w:ascii="Times New Roman" w:hAnsi="Times New Roman" w:eastAsia="MS Mincho"/>
      <w:b/>
      <w:kern w:val="2"/>
      <w:sz w:val="28"/>
    </w:r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TAC"/>
    <w:basedOn w:val="58"/>
    <w:link w:val="66"/>
    <w:qFormat/>
    <w:uiPriority w:val="0"/>
    <w:pPr>
      <w:jc w:val="center"/>
    </w:pPr>
  </w:style>
  <w:style w:type="paragraph" w:customStyle="1" w:styleId="58">
    <w:name w:val="TAL"/>
    <w:basedOn w:val="1"/>
    <w:link w:val="67"/>
    <w:qFormat/>
    <w:uiPriority w:val="0"/>
    <w:pPr>
      <w:keepNext/>
      <w:keepLines/>
    </w:pPr>
    <w:rPr>
      <w:rFonts w:ascii="Arial" w:hAnsi="Arial"/>
      <w:sz w:val="18"/>
    </w:rPr>
  </w:style>
  <w:style w:type="paragraph" w:customStyle="1" w:styleId="59">
    <w:name w:val="B5"/>
    <w:basedOn w:val="1"/>
    <w:qFormat/>
    <w:uiPriority w:val="0"/>
    <w:pPr>
      <w:ind w:left="1702" w:hanging="284"/>
    </w:pPr>
  </w:style>
  <w:style w:type="character" w:customStyle="1" w:styleId="60">
    <w:name w:val="首标题"/>
    <w:qFormat/>
    <w:uiPriority w:val="0"/>
    <w:rPr>
      <w:rFonts w:ascii="Arial" w:hAnsi="Arial" w:eastAsia="宋体"/>
      <w:sz w:val="24"/>
    </w:rPr>
  </w:style>
  <w:style w:type="character" w:customStyle="1" w:styleId="61">
    <w:name w:val="B1 Char1"/>
    <w:link w:val="47"/>
    <w:qFormat/>
    <w:uiPriority w:val="0"/>
    <w:rPr>
      <w:kern w:val="2"/>
      <w:sz w:val="21"/>
    </w:rPr>
  </w:style>
  <w:style w:type="character" w:customStyle="1" w:styleId="62">
    <w:name w:val="NO Char"/>
    <w:link w:val="63"/>
    <w:qFormat/>
    <w:uiPriority w:val="0"/>
    <w:rPr>
      <w:lang w:val="en-GB" w:eastAsia="en-US"/>
    </w:rPr>
  </w:style>
  <w:style w:type="paragraph" w:customStyle="1" w:styleId="63">
    <w:name w:val="NO"/>
    <w:basedOn w:val="1"/>
    <w:link w:val="62"/>
    <w:qFormat/>
    <w:uiPriority w:val="0"/>
    <w:pPr>
      <w:keepLines/>
      <w:spacing w:beforeLines="0" w:afterLines="0" w:line="240" w:lineRule="auto"/>
      <w:ind w:left="1135" w:hanging="851"/>
      <w:jc w:val="left"/>
    </w:pPr>
    <w:rPr>
      <w:kern w:val="0"/>
      <w:sz w:val="20"/>
      <w:lang w:val="en-GB" w:eastAsia="en-US"/>
    </w:rPr>
  </w:style>
  <w:style w:type="character" w:customStyle="1" w:styleId="64">
    <w:name w:val="TAH Car"/>
    <w:link w:val="65"/>
    <w:qFormat/>
    <w:locked/>
    <w:uiPriority w:val="0"/>
    <w:rPr>
      <w:rFonts w:ascii="Arial" w:hAnsi="Arial"/>
      <w:b/>
      <w:sz w:val="18"/>
      <w:lang w:val="en-GB" w:eastAsia="en-US"/>
    </w:rPr>
  </w:style>
  <w:style w:type="paragraph" w:customStyle="1" w:styleId="65">
    <w:name w:val="TAH"/>
    <w:basedOn w:val="57"/>
    <w:link w:val="64"/>
    <w:qFormat/>
    <w:uiPriority w:val="0"/>
    <w:pPr>
      <w:spacing w:beforeLines="0" w:afterLines="0" w:line="240" w:lineRule="auto"/>
    </w:pPr>
    <w:rPr>
      <w:b/>
      <w:kern w:val="0"/>
      <w:lang w:val="en-GB" w:eastAsia="en-US"/>
    </w:rPr>
  </w:style>
  <w:style w:type="character" w:customStyle="1" w:styleId="66">
    <w:name w:val="TAC Char"/>
    <w:link w:val="57"/>
    <w:qFormat/>
    <w:locked/>
    <w:uiPriority w:val="0"/>
    <w:rPr>
      <w:rFonts w:ascii="Arial" w:hAnsi="Arial"/>
      <w:kern w:val="2"/>
      <w:sz w:val="18"/>
    </w:rPr>
  </w:style>
  <w:style w:type="character" w:customStyle="1" w:styleId="67">
    <w:name w:val="TAL Car"/>
    <w:link w:val="58"/>
    <w:qFormat/>
    <w:uiPriority w:val="0"/>
    <w:rPr>
      <w:rFonts w:ascii="Arial" w:hAnsi="Arial"/>
      <w:kern w:val="2"/>
      <w:sz w:val="18"/>
    </w:rPr>
  </w:style>
  <w:style w:type="character" w:customStyle="1" w:styleId="68">
    <w:name w:val="列出段落 Char"/>
    <w:link w:val="34"/>
    <w:qFormat/>
    <w:locked/>
    <w:uiPriority w:val="34"/>
    <w:rPr>
      <w:rFonts w:eastAsia="Times New Roman"/>
      <w:kern w:val="2"/>
      <w:sz w:val="24"/>
      <w:szCs w:val="24"/>
    </w:rPr>
  </w:style>
  <w:style w:type="paragraph" w:customStyle="1" w:styleId="69">
    <w:name w:val="Revision"/>
    <w:hidden/>
    <w:semiHidden/>
    <w:qFormat/>
    <w:uiPriority w:val="99"/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70">
    <w:name w:val="TAN"/>
    <w:basedOn w:val="58"/>
    <w:qFormat/>
    <w:uiPriority w:val="0"/>
    <w:pPr>
      <w:ind w:left="851" w:hanging="851"/>
    </w:pPr>
  </w:style>
  <w:style w:type="character" w:customStyle="1" w:styleId="71">
    <w:name w:val="font4"/>
    <w:basedOn w:val="25"/>
    <w:qFormat/>
    <w:uiPriority w:val="0"/>
  </w:style>
  <w:style w:type="paragraph" w:customStyle="1" w:styleId="72">
    <w:name w:val="样式 页眉"/>
    <w:basedOn w:val="17"/>
    <w:qFormat/>
    <w:uiPriority w:val="0"/>
    <w:rPr>
      <w:rFonts w:eastAsia="Arial"/>
      <w:bCs/>
      <w:sz w:val="22"/>
    </w:rPr>
  </w:style>
  <w:style w:type="paragraph" w:customStyle="1" w:styleId="73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character" w:customStyle="1" w:styleId="74">
    <w:name w:val="font21"/>
    <w:basedOn w:val="25"/>
    <w:qFormat/>
    <w:uiPriority w:val="0"/>
    <w:rPr>
      <w:rFonts w:hint="default" w:ascii="Times New Roman" w:hAnsi="Times New Roman" w:cs="Times New Roman"/>
      <w:color w:val="000000"/>
      <w:sz w:val="18"/>
      <w:szCs w:val="18"/>
      <w:u w:val="none"/>
    </w:rPr>
  </w:style>
  <w:style w:type="character" w:customStyle="1" w:styleId="75">
    <w:name w:val="font01"/>
    <w:basedOn w:val="25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76">
    <w:name w:val="font31"/>
    <w:basedOn w:val="25"/>
    <w:qFormat/>
    <w:uiPriority w:val="0"/>
    <w:rPr>
      <w:rFonts w:ascii="TimesNewRomanPS-ItalicMT" w:hAnsi="TimesNewRomanPS-ItalicMT" w:eastAsia="TimesNewRomanPS-ItalicMT" w:cs="TimesNewRomanPS-ItalicMT"/>
      <w:i/>
      <w:iCs/>
      <w:color w:val="000000"/>
      <w:sz w:val="22"/>
      <w:szCs w:val="22"/>
      <w:u w:val="none"/>
    </w:rPr>
  </w:style>
  <w:style w:type="character" w:customStyle="1" w:styleId="77">
    <w:name w:val="font41"/>
    <w:basedOn w:val="25"/>
    <w:qFormat/>
    <w:uiPriority w:val="0"/>
    <w:rPr>
      <w:rFonts w:hint="default" w:ascii="TimesNewRomanPS-ItalicMT" w:hAnsi="TimesNewRomanPS-ItalicMT" w:eastAsia="TimesNewRomanPS-ItalicMT" w:cs="TimesNewRomanPS-ItalicMT"/>
      <w:i/>
      <w:iCs/>
      <w:color w:val="000000"/>
      <w:sz w:val="18"/>
      <w:szCs w:val="18"/>
      <w:u w:val="none"/>
    </w:rPr>
  </w:style>
  <w:style w:type="character" w:customStyle="1" w:styleId="78">
    <w:name w:val="font11"/>
    <w:basedOn w:val="25"/>
    <w:qFormat/>
    <w:uiPriority w:val="0"/>
    <w:rPr>
      <w:rFonts w:ascii="Symbol" w:hAnsi="Symbol" w:cs="Symbol"/>
      <w:color w:val="000000"/>
      <w:sz w:val="24"/>
      <w:szCs w:val="24"/>
      <w:u w:val="none"/>
    </w:rPr>
  </w:style>
  <w:style w:type="table" w:customStyle="1" w:styleId="79">
    <w:name w:val="_Style 93"/>
    <w:basedOn w:val="23"/>
    <w:qFormat/>
    <w:uiPriority w:val="0"/>
    <w:tblPr>
      <w:tblCellMar>
        <w:left w:w="115" w:type="dxa"/>
        <w:right w:w="115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1.xml"/><Relationship Id="rId12" Type="http://schemas.openxmlformats.org/officeDocument/2006/relationships/numbering" Target="numbering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8079D9-7FCF-4DA1-8567-DD25B219482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ZTE Corporation</Company>
  <Pages>4</Pages>
  <Words>1113</Words>
  <Characters>6348</Characters>
  <Lines>52</Lines>
  <Paragraphs>14</Paragraphs>
  <TotalTime>3</TotalTime>
  <ScaleCrop>false</ScaleCrop>
  <LinksUpToDate>false</LinksUpToDate>
  <CharactersWithSpaces>7447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2021-09-06T20:42:00Z</dcterms:created>
  <dc:creator>ZTE</dc:creator>
  <cp:lastModifiedBy>ZTE, Li Lu</cp:lastModifiedBy>
  <dcterms:modified xsi:type="dcterms:W3CDTF">2024-08-09T08:29:47Z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2C76AEB552B54F80A12B88DD3D57EA5C</vt:lpwstr>
  </property>
</Properties>
</file>